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33"/>
      <w:bookmarkStart w:id="2" w:name="OLE_LINK12"/>
      <w:bookmarkStart w:id="3" w:name="OLE_LINK13"/>
      <w:bookmarkStart w:id="4" w:name="OLE_LINK34"/>
      <w:bookmarkStart w:id="5" w:name="OLE_LINK24"/>
      <w:r>
        <w:rPr>
          <w:rFonts w:ascii="Times New Roman" w:hAnsi="Times New Roman" w:eastAsia="宋体"/>
          <w:b/>
          <w:sz w:val="24"/>
          <w:szCs w:val="24"/>
          <w:lang w:eastAsia="ja-JP"/>
        </w:rPr>
        <w:t>3GPP TSG RAN WG1 #</w:t>
      </w:r>
      <w:r>
        <w:rPr>
          <w:rFonts w:ascii="Times New Roman" w:hAnsi="Times New Roman" w:eastAsia="宋体"/>
          <w:b/>
          <w:sz w:val="24"/>
          <w:szCs w:val="24"/>
        </w:rPr>
        <w:t xml:space="preserve">112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R1</w:t>
      </w:r>
      <w:r>
        <w:rPr>
          <w:rFonts w:ascii="Times New Roman" w:hAnsi="Times New Roman" w:eastAsia="宋体"/>
          <w:b/>
          <w:sz w:val="24"/>
          <w:szCs w:val="24"/>
        </w:rPr>
        <w:t>-</w:t>
      </w:r>
      <w:r>
        <w:rPr>
          <w:rFonts w:ascii="Times New Roman" w:hAnsi="Times New Roman" w:eastAsia="宋体"/>
          <w:b/>
          <w:sz w:val="24"/>
          <w:szCs w:val="24"/>
          <w:lang w:eastAsia="ja-JP"/>
        </w:rPr>
        <w:t>2</w:t>
      </w:r>
      <w:r>
        <w:rPr>
          <w:rFonts w:ascii="Times New Roman" w:hAnsi="Times New Roman" w:eastAsia="宋体"/>
          <w:b/>
          <w:sz w:val="24"/>
          <w:szCs w:val="24"/>
        </w:rPr>
        <w:t>300188</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ascii="Times New Roman" w:hAnsi="Times New Roman"/>
          <w:b/>
          <w:sz w:val="24"/>
          <w:szCs w:val="24"/>
        </w:rPr>
        <w:t>Athens</w:t>
      </w:r>
      <w:r>
        <w:rPr>
          <w:rFonts w:ascii="Times New Roman" w:hAnsi="Times New Roman"/>
          <w:b/>
          <w:sz w:val="24"/>
          <w:szCs w:val="24"/>
          <w:lang w:eastAsia="ja-JP"/>
        </w:rPr>
        <w:t xml:space="preserve">, </w:t>
      </w:r>
      <w:r>
        <w:rPr>
          <w:rFonts w:ascii="Times New Roman" w:hAnsi="Times New Roman"/>
          <w:b/>
          <w:sz w:val="24"/>
          <w:szCs w:val="24"/>
        </w:rPr>
        <w:t>Greece, February 27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March 3</w:t>
      </w:r>
      <w:r>
        <w:rPr>
          <w:rFonts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23</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3"/>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3"/>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eastAsia="宋体"/>
          <w:bCs/>
          <w:sz w:val="22"/>
          <w:szCs w:val="22"/>
          <w:lang w:eastAsia="zh-CN"/>
        </w:rPr>
        <w:t>L1 enhancements for inter-cell beam management</w:t>
      </w:r>
    </w:p>
    <w:p>
      <w:pPr>
        <w:pStyle w:val="23"/>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9.12.1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RAN#98-e meeting, revised WID on Further NR mobility enhancements was approved [1]. In this WID, one of the objectives is to study L1/L2 based inter-cell mobility including L1 measurement and reporting, beam indication, dynamic switch mechanism, which aims to reduce handover latency, interruption time and overhead. The detailed objective on L1/L2 based inter-cell mobility is formulated as follows:</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6" w:type="dxa"/>
          </w:tcPr>
          <w:p>
            <w:pPr>
              <w:numPr>
                <w:ilvl w:val="0"/>
                <w:numId w:val="4"/>
              </w:numPr>
              <w:spacing w:before="240" w:after="180" w:afterLines="50"/>
              <w:ind w:left="584" w:hanging="363"/>
              <w:jc w:val="both"/>
              <w:rPr>
                <w:rFonts w:ascii="Times New Roman" w:hAnsi="Times New Roman"/>
                <w:bCs/>
                <w:sz w:val="20"/>
                <w:szCs w:val="20"/>
              </w:rPr>
            </w:pPr>
            <w:r>
              <w:rPr>
                <w:rFonts w:ascii="Times New Roman" w:hAnsi="Times New Roman"/>
                <w:bCs/>
                <w:sz w:val="20"/>
                <w:szCs w:val="20"/>
              </w:rPr>
              <w:t>To specify mechanism and procedures of L1/L2 based inter-cell mobility for mobility latency reduction:</w:t>
            </w:r>
          </w:p>
          <w:p>
            <w:pPr>
              <w:numPr>
                <w:ilvl w:val="0"/>
                <w:numId w:val="5"/>
              </w:numPr>
              <w:spacing w:after="0"/>
              <w:jc w:val="both"/>
              <w:rPr>
                <w:rFonts w:ascii="Times New Roman" w:hAnsi="Times New Roman"/>
                <w:bCs/>
                <w:sz w:val="20"/>
                <w:szCs w:val="20"/>
              </w:rPr>
            </w:pPr>
            <w:r>
              <w:rPr>
                <w:rFonts w:ascii="Times New Roman" w:hAnsi="Times New Roman"/>
                <w:bCs/>
                <w:sz w:val="20"/>
                <w:szCs w:val="20"/>
              </w:rPr>
              <w:t>Configuration and maintenance for multiple candidate cells to allow fast application of configurations for candidate cells [RAN2, RAN3]</w:t>
            </w:r>
          </w:p>
          <w:p>
            <w:pPr>
              <w:numPr>
                <w:ilvl w:val="0"/>
                <w:numId w:val="5"/>
              </w:numPr>
              <w:spacing w:after="0"/>
              <w:jc w:val="both"/>
              <w:rPr>
                <w:rFonts w:ascii="Times New Roman" w:hAnsi="Times New Roman"/>
                <w:bCs/>
                <w:sz w:val="20"/>
                <w:szCs w:val="20"/>
              </w:rPr>
            </w:pPr>
            <w:r>
              <w:rPr>
                <w:rFonts w:ascii="Times New Roman" w:hAnsi="Times New Roman"/>
                <w:bCs/>
                <w:sz w:val="20"/>
                <w:szCs w:val="20"/>
              </w:rPr>
              <w:t>Dynamic switch mechanism among candidate serving cells (including SpCell and SCell) for the potential applicable scenarios based on L1/L2 signalling [RAN2, RAN1]</w:t>
            </w:r>
          </w:p>
          <w:p>
            <w:pPr>
              <w:numPr>
                <w:ilvl w:val="0"/>
                <w:numId w:val="5"/>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pPr>
              <w:numPr>
                <w:ilvl w:val="1"/>
                <w:numId w:val="5"/>
              </w:numPr>
              <w:spacing w:after="0"/>
              <w:jc w:val="both"/>
              <w:rPr>
                <w:rFonts w:ascii="Times New Roman" w:hAnsi="Times New Roman"/>
                <w:bCs/>
                <w:i/>
                <w:sz w:val="20"/>
                <w:szCs w:val="20"/>
              </w:rPr>
            </w:pPr>
            <w:r>
              <w:rPr>
                <w:rFonts w:ascii="Times New Roman" w:hAnsi="Times New Roman"/>
                <w:bCs/>
                <w:i/>
                <w:sz w:val="20"/>
                <w:szCs w:val="20"/>
              </w:rPr>
              <w:t>Note 1: Early RAN2 involvement is necessary, including the possibility of further clarifying the interaction between this bullet with the previous bullet</w:t>
            </w:r>
          </w:p>
          <w:p>
            <w:pPr>
              <w:numPr>
                <w:ilvl w:val="0"/>
                <w:numId w:val="5"/>
              </w:numPr>
              <w:spacing w:after="0"/>
              <w:jc w:val="both"/>
              <w:rPr>
                <w:rFonts w:ascii="Times New Roman" w:hAnsi="Times New Roman"/>
                <w:bCs/>
                <w:sz w:val="20"/>
                <w:szCs w:val="20"/>
              </w:rPr>
            </w:pPr>
            <w:r>
              <w:rPr>
                <w:rFonts w:ascii="Times New Roman" w:hAnsi="Times New Roman"/>
                <w:bCs/>
                <w:sz w:val="20"/>
                <w:szCs w:val="20"/>
              </w:rPr>
              <w:t>Timing Advance management [RAN1, RAN2]</w:t>
            </w:r>
          </w:p>
          <w:p>
            <w:pPr>
              <w:numPr>
                <w:ilvl w:val="0"/>
                <w:numId w:val="5"/>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pPr>
              <w:numPr>
                <w:ilvl w:val="255"/>
                <w:numId w:val="0"/>
              </w:numPr>
              <w:spacing w:after="0"/>
              <w:ind w:left="720"/>
              <w:jc w:val="both"/>
              <w:rPr>
                <w:rFonts w:ascii="Times New Roman" w:hAnsi="Times New Roman"/>
                <w:bCs/>
                <w:sz w:val="20"/>
                <w:szCs w:val="20"/>
              </w:rPr>
            </w:pPr>
          </w:p>
          <w:p>
            <w:pPr>
              <w:spacing w:after="0"/>
              <w:ind w:left="720"/>
              <w:jc w:val="both"/>
              <w:rPr>
                <w:rFonts w:ascii="Times New Roman" w:hAnsi="Times New Roman"/>
                <w:bCs/>
                <w:i/>
                <w:sz w:val="20"/>
                <w:szCs w:val="20"/>
              </w:rPr>
            </w:pPr>
            <w:r>
              <w:rPr>
                <w:rFonts w:ascii="Times New Roman" w:hAnsi="Times New Roman"/>
                <w:bCs/>
                <w:i/>
                <w:sz w:val="20"/>
                <w:szCs w:val="20"/>
              </w:rPr>
              <w:t>Note 2: FR2 specific enhancements are not precluded, if any.</w:t>
            </w:r>
          </w:p>
          <w:p>
            <w:pPr>
              <w:spacing w:after="0"/>
              <w:ind w:left="720"/>
              <w:jc w:val="both"/>
              <w:rPr>
                <w:rFonts w:ascii="Times New Roman" w:hAnsi="Times New Roman"/>
                <w:bCs/>
                <w:i/>
                <w:sz w:val="20"/>
                <w:szCs w:val="20"/>
              </w:rPr>
            </w:pPr>
            <w:r>
              <w:rPr>
                <w:rFonts w:ascii="Times New Roman" w:hAnsi="Times New Roman"/>
                <w:bCs/>
                <w:i/>
                <w:sz w:val="20"/>
                <w:szCs w:val="20"/>
              </w:rPr>
              <w:t>Note 3: The procedure of L1/L2 based inter-cell mobility are applicable to the following scenarios:</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pPr>
              <w:numPr>
                <w:ilvl w:val="2"/>
                <w:numId w:val="6"/>
              </w:numPr>
              <w:spacing w:after="180" w:afterLines="50"/>
              <w:ind w:left="1446" w:hanging="363"/>
              <w:jc w:val="both"/>
              <w:rPr>
                <w:rFonts w:ascii="Times New Roman" w:hAnsi="Times New Roman"/>
                <w:sz w:val="20"/>
                <w:szCs w:val="20"/>
                <w:lang w:val="en-GB"/>
              </w:rPr>
            </w:pPr>
            <w:r>
              <w:rPr>
                <w:rFonts w:ascii="Times New Roman" w:hAnsi="Times New Roman"/>
                <w:bCs/>
                <w:i/>
                <w:sz w:val="20"/>
                <w:szCs w:val="20"/>
              </w:rPr>
              <w:t>Source and target cells may be synchronized or non-synchronized</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L1 measurement and reporting, beam indication, selection of candidate cells and/or beams, dynamic cell switch and some considerations on reducing interruption latency for Rel-18 L1/L2 triggered mobility (LTM).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spacing w:before="240" w:after="180" w:afterLines="50" w:line="240" w:lineRule="auto"/>
        <w:rPr>
          <w:szCs w:val="24"/>
        </w:rPr>
      </w:pPr>
      <w:bookmarkStart w:id="7" w:name="OLE_LINK15"/>
      <w:bookmarkStart w:id="8" w:name="OLE_LINK21"/>
      <w:bookmarkStart w:id="9" w:name="OLE_LINK18"/>
      <w:r>
        <w:rPr>
          <w:rFonts w:hint="eastAsia" w:eastAsia="宋体"/>
          <w:szCs w:val="24"/>
        </w:rPr>
        <w:t>2.1</w:t>
      </w:r>
      <w:r>
        <w:rPr>
          <w:rFonts w:hint="eastAsia" w:eastAsia="宋体"/>
          <w:szCs w:val="24"/>
        </w:rPr>
        <w:tab/>
      </w:r>
      <w:r>
        <w:rPr>
          <w:rFonts w:hint="eastAsia" w:eastAsia="宋体"/>
          <w:szCs w:val="24"/>
        </w:rPr>
        <w:t>L1 measurement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L1 measurement, although some issues that need to be supported in Rel-18 LTM have been identified in the last meeting, there are still some aspects on measurement that need to be further analyzed and determined on whether it should be considered in Rel-18 L1/L2 triggered mobility, or how to be supported if needed. In the following subsection, we will mainly focus on CSI-RS based measurement RS, filtering for L1 measurement results, measurement configuration.</w:t>
      </w:r>
    </w:p>
    <w:p>
      <w:pPr>
        <w:pStyle w:val="4"/>
        <w:spacing w:before="240" w:after="180" w:afterLines="50" w:line="240" w:lineRule="auto"/>
        <w:rPr>
          <w:sz w:val="21"/>
          <w:szCs w:val="21"/>
        </w:rPr>
      </w:pPr>
      <w:r>
        <w:rPr>
          <w:rFonts w:hint="eastAsia"/>
          <w:sz w:val="21"/>
          <w:szCs w:val="21"/>
        </w:rPr>
        <w:t>2.1.1</w:t>
      </w:r>
      <w:r>
        <w:rPr>
          <w:rFonts w:hint="eastAsia"/>
          <w:sz w:val="21"/>
          <w:szCs w:val="21"/>
        </w:rPr>
        <w:tab/>
      </w:r>
      <w:r>
        <w:rPr>
          <w:rFonts w:hint="eastAsia"/>
          <w:sz w:val="21"/>
          <w:szCs w:val="21"/>
        </w:rPr>
        <w:t>Measurement RS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RAN1#110bis-e meeting [2], it has been agreed that SSB is used as a measurement reference signal for Rel-18 LTM, as follows:</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spacing w:before="120" w:after="180" w:afterLines="50" w:line="240" w:lineRule="auto"/>
              <w:rPr>
                <w:rFonts w:ascii="Times New Roman" w:hAnsi="Times New Roman" w:eastAsia="Batang"/>
                <w:b/>
                <w:sz w:val="20"/>
                <w:szCs w:val="24"/>
                <w:highlight w:val="none"/>
                <w:u w:val="single"/>
                <w:lang w:val="en-GB" w:eastAsia="en-US"/>
              </w:rPr>
            </w:pPr>
            <w:r>
              <w:rPr>
                <w:rFonts w:ascii="Times New Roman" w:hAnsi="Times New Roman" w:eastAsia="Batang"/>
                <w:b/>
                <w:sz w:val="20"/>
                <w:szCs w:val="24"/>
                <w:highlight w:val="none"/>
                <w:u w:val="single"/>
                <w:lang w:val="en-GB" w:eastAsia="en-US"/>
              </w:rPr>
              <w:t>Agreement</w:t>
            </w:r>
          </w:p>
          <w:p>
            <w:pPr>
              <w:keepNext w:val="0"/>
              <w:keepLines w:val="0"/>
              <w:pageBreakBefore w:val="0"/>
              <w:widowControl/>
              <w:numPr>
                <w:ilvl w:val="0"/>
                <w:numId w:val="7"/>
              </w:numPr>
              <w:kinsoku/>
              <w:wordWrap/>
              <w:overflowPunct/>
              <w:topLinePunct w:val="0"/>
              <w:autoSpaceDE/>
              <w:autoSpaceDN/>
              <w:bidi w:val="0"/>
              <w:adjustRightInd/>
              <w:snapToGrid w:val="0"/>
              <w:spacing w:after="0" w:afterAutospacing="0"/>
              <w:ind w:left="363" w:hanging="363"/>
              <w:jc w:val="both"/>
              <w:textAlignment w:val="auto"/>
              <w:rPr>
                <w:rFonts w:ascii="Times New Roman" w:hAnsi="Times New Roman" w:eastAsia="Batang"/>
                <w:sz w:val="20"/>
                <w:szCs w:val="20"/>
                <w:lang w:val="en-GB" w:eastAsia="en-US"/>
              </w:rPr>
            </w:pPr>
            <w:r>
              <w:rPr>
                <w:rFonts w:ascii="Times New Roman" w:hAnsi="Times New Roman" w:eastAsia="Batang"/>
                <w:sz w:val="20"/>
                <w:szCs w:val="20"/>
                <w:lang w:val="en-GB" w:eastAsia="en-US"/>
              </w:rPr>
              <w:t>For Rel-18 L1/L2 mobility,</w:t>
            </w:r>
          </w:p>
          <w:p>
            <w:pPr>
              <w:numPr>
                <w:ilvl w:val="1"/>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SSB is supported for L1 intra-frequency</w:t>
            </w:r>
            <w:r>
              <w:rPr>
                <w:rFonts w:ascii="Times New Roman" w:hAnsi="Times New Roman" w:eastAsia="Batang"/>
                <w:color w:val="FF0000"/>
                <w:sz w:val="20"/>
                <w:szCs w:val="20"/>
                <w:lang w:val="en-GB" w:eastAsia="en-US"/>
              </w:rPr>
              <w:t xml:space="preserve"> </w:t>
            </w:r>
            <w:r>
              <w:rPr>
                <w:rFonts w:ascii="Times New Roman" w:hAnsi="Times New Roman" w:eastAsia="Batang"/>
                <w:sz w:val="20"/>
                <w:szCs w:val="20"/>
                <w:lang w:val="en-GB" w:eastAsia="en-US"/>
              </w:rPr>
              <w:t>measurement</w:t>
            </w:r>
          </w:p>
          <w:p>
            <w:pPr>
              <w:numPr>
                <w:ilvl w:val="1"/>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SSB is supported for L1 inter-frequency measurement if inter-frequency L1 measurements are supported</w:t>
            </w:r>
          </w:p>
          <w:p>
            <w:pPr>
              <w:numPr>
                <w:ilvl w:val="0"/>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Further study the following L1 measurement RS for candidate cell</w:t>
            </w:r>
          </w:p>
          <w:p>
            <w:pPr>
              <w:numPr>
                <w:ilvl w:val="1"/>
                <w:numId w:val="7"/>
              </w:numPr>
              <w:snapToGrid w:val="0"/>
              <w:spacing w:after="180" w:afterLines="50"/>
              <w:ind w:left="839"/>
              <w:jc w:val="both"/>
              <w:rPr>
                <w:rFonts w:ascii="Times New Roman" w:hAnsi="Times New Roman"/>
                <w:sz w:val="20"/>
                <w:szCs w:val="20"/>
              </w:rPr>
            </w:pPr>
            <w:r>
              <w:rPr>
                <w:rFonts w:ascii="Times New Roman" w:hAnsi="Times New Roman" w:eastAsia="Batang"/>
                <w:color w:val="000000"/>
                <w:sz w:val="20"/>
                <w:szCs w:val="20"/>
                <w:lang w:val="en-GB" w:eastAsia="en-US"/>
              </w:rPr>
              <w:t xml:space="preserve">CSI-RS for tracking, beam management, CSI and mobility, CSI-IM, which is for L1 intra-frequency and L1 inter-frequency (if supported)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RAN1#111 meeting [3], due to limited time there is still no progress on whether CSI-RS is supp</w:t>
      </w:r>
      <w:r>
        <w:rPr>
          <w:rFonts w:ascii="Times New Roman" w:hAnsi="Times New Roman"/>
          <w:sz w:val="20"/>
          <w:szCs w:val="20"/>
        </w:rPr>
        <w:t xml:space="preserve">orted </w:t>
      </w:r>
      <w:r>
        <w:rPr>
          <w:rFonts w:hint="eastAsia" w:ascii="Times New Roman" w:hAnsi="Times New Roman"/>
          <w:sz w:val="20"/>
          <w:szCs w:val="20"/>
        </w:rPr>
        <w:t>as an additional measurement reference signal for candidate cell in Rel-18 LTM and if so, what type of CSI-RS should be supported. In our view</w:t>
      </w:r>
      <w:r>
        <w:rPr>
          <w:rFonts w:ascii="Times New Roman" w:hAnsi="Times New Roman"/>
          <w:sz w:val="20"/>
          <w:szCs w:val="20"/>
        </w:rPr>
        <w:t>s</w:t>
      </w:r>
      <w:r>
        <w:rPr>
          <w:rFonts w:hint="eastAsia" w:ascii="Times New Roman" w:hAnsi="Times New Roman"/>
          <w:sz w:val="20"/>
          <w:szCs w:val="20"/>
        </w:rPr>
        <w:t xml:space="preserve">, at least CSI-RS for beam management should be supported to enable more accurate and flexible L1 measurement for candidate cell. CSI-RS for </w:t>
      </w:r>
      <w:r>
        <w:rPr>
          <w:rFonts w:ascii="Times New Roman" w:hAnsi="Times New Roman"/>
          <w:sz w:val="20"/>
          <w:szCs w:val="20"/>
        </w:rPr>
        <w:t>t</w:t>
      </w:r>
      <w:r>
        <w:rPr>
          <w:rFonts w:hint="eastAsia" w:ascii="Times New Roman" w:hAnsi="Times New Roman"/>
          <w:sz w:val="20"/>
          <w:szCs w:val="20"/>
        </w:rPr>
        <w:t>racking can be also supported to improve demodulation performance. For CSI-RS for mobility, it can be considered for Rel-18 LTM since the similar functionality has been supported in the traditional L3 handover, which is beneficial to achieve the commonality design between L1 based handover and L3 based mobility as much as possible. As for CSI-RS for CSI and IM, they can be further studied and analyzed.</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i/>
          <w:sz w:val="20"/>
          <w:szCs w:val="20"/>
        </w:rPr>
        <w:t xml:space="preserve"> In addition to SSB, CSI-RS for </w:t>
      </w:r>
      <w:r>
        <w:rPr>
          <w:rFonts w:hint="eastAsia" w:ascii="Times New Roman" w:hAnsi="Times New Roman"/>
          <w:i/>
          <w:sz w:val="20"/>
          <w:szCs w:val="20"/>
        </w:rPr>
        <w:t xml:space="preserve">beam management and </w:t>
      </w:r>
      <w:r>
        <w:rPr>
          <w:rFonts w:ascii="Times New Roman" w:hAnsi="Times New Roman"/>
          <w:i/>
          <w:sz w:val="20"/>
          <w:szCs w:val="20"/>
        </w:rPr>
        <w:t>tracking</w:t>
      </w:r>
      <w:r>
        <w:rPr>
          <w:rFonts w:hint="eastAsia" w:ascii="Times New Roman" w:hAnsi="Times New Roman"/>
          <w:i/>
          <w:sz w:val="20"/>
          <w:szCs w:val="20"/>
        </w:rPr>
        <w:t xml:space="preserve"> </w:t>
      </w:r>
      <w:r>
        <w:rPr>
          <w:rFonts w:ascii="Times New Roman" w:hAnsi="Times New Roman"/>
          <w:i/>
          <w:sz w:val="20"/>
          <w:szCs w:val="20"/>
        </w:rPr>
        <w:t>should be supported for Rel-18 L</w:t>
      </w:r>
      <w:r>
        <w:rPr>
          <w:rFonts w:hint="eastAsia" w:ascii="Times New Roman" w:hAnsi="Times New Roman"/>
          <w:i/>
          <w:sz w:val="20"/>
          <w:szCs w:val="20"/>
        </w:rPr>
        <w:t>TM</w:t>
      </w:r>
      <w:r>
        <w:rPr>
          <w:rFonts w:ascii="Times New Roman" w:hAnsi="Times New Roman"/>
          <w:i/>
          <w:sz w:val="20"/>
          <w:szCs w:val="20"/>
        </w:rPr>
        <w:t>.</w:t>
      </w:r>
    </w:p>
    <w:p>
      <w:pPr>
        <w:pStyle w:val="4"/>
        <w:spacing w:before="240" w:after="180" w:afterLines="50" w:line="240" w:lineRule="auto"/>
        <w:rPr>
          <w:sz w:val="21"/>
          <w:szCs w:val="21"/>
        </w:rPr>
      </w:pPr>
      <w:r>
        <w:rPr>
          <w:rFonts w:hint="eastAsia"/>
          <w:sz w:val="21"/>
          <w:szCs w:val="21"/>
        </w:rPr>
        <w:t>2.1.2</w:t>
      </w:r>
      <w:r>
        <w:rPr>
          <w:rFonts w:hint="eastAsia"/>
          <w:sz w:val="21"/>
          <w:szCs w:val="21"/>
        </w:rPr>
        <w:tab/>
      </w:r>
      <w:r>
        <w:rPr>
          <w:rFonts w:hint="eastAsia"/>
          <w:sz w:val="21"/>
          <w:szCs w:val="21"/>
        </w:rPr>
        <w:t>Filtering for measurement results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RAN1#110bis-e meeting, one issue on whether it is necessary to introduce filtering operation for L1 measurement results to mitigate the ping-pong problem for Rel-18 LTM has been discussed but no consensus. Before discussing this issue, we tend to first evaluate and clarify the impact of ping-pong issue on Rel-18 LTM. From our point of view, ping-pong issue does not seem to be a big deal and even its impact on Rel-18 LTM can be negligible since one of design goals of Rel-18 LTM is to minimize latency and fast cell switch. In addition, </w:t>
      </w:r>
      <w:r>
        <w:rPr>
          <w:rFonts w:ascii="Times New Roman" w:hAnsi="Times New Roman"/>
          <w:sz w:val="20"/>
          <w:szCs w:val="20"/>
        </w:rPr>
        <w:t xml:space="preserve">even </w:t>
      </w:r>
      <w:r>
        <w:rPr>
          <w:rFonts w:hint="eastAsia" w:ascii="Times New Roman" w:hAnsi="Times New Roman"/>
          <w:sz w:val="20"/>
          <w:szCs w:val="20"/>
        </w:rPr>
        <w:t xml:space="preserve">if ping-pong issue must be solved, we </w:t>
      </w:r>
      <w:r>
        <w:rPr>
          <w:rFonts w:ascii="Times New Roman" w:hAnsi="Times New Roman"/>
          <w:sz w:val="20"/>
          <w:szCs w:val="20"/>
        </w:rPr>
        <w:t xml:space="preserve">still </w:t>
      </w:r>
      <w:r>
        <w:rPr>
          <w:rFonts w:hint="eastAsia" w:ascii="Times New Roman" w:hAnsi="Times New Roman"/>
          <w:sz w:val="20"/>
          <w:szCs w:val="20"/>
        </w:rPr>
        <w:t xml:space="preserve">think that a possible solution on Artificial Intelligence (AI) based beam prediction can be also considered to improve robustness of cell switch decision in addition to the filtering. But this issue needs to be confirmed in RAN2 first and then go back to RAN1 to discuss related enhancements for L1 measurement results. </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2:</w:t>
      </w:r>
      <w:r>
        <w:rPr>
          <w:rFonts w:ascii="Times New Roman" w:hAnsi="Times New Roman"/>
          <w:i/>
          <w:sz w:val="20"/>
          <w:szCs w:val="20"/>
        </w:rPr>
        <w:t xml:space="preserve"> It is recommended that RAN1 send an LS to RAN2 to confirm and clarify the importance of ping-pong issue and impact on Rel-18 L</w:t>
      </w:r>
      <w:r>
        <w:rPr>
          <w:rFonts w:hint="eastAsia" w:ascii="Times New Roman" w:hAnsi="Times New Roman"/>
          <w:i/>
          <w:sz w:val="20"/>
          <w:szCs w:val="20"/>
        </w:rPr>
        <w:t>TM</w:t>
      </w:r>
      <w:r>
        <w:rPr>
          <w:rFonts w:ascii="Times New Roman" w:hAnsi="Times New Roman"/>
          <w:i/>
          <w:sz w:val="20"/>
          <w:szCs w:val="20"/>
        </w:rPr>
        <w:t>.</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 xml:space="preserve">: </w:t>
      </w:r>
      <w:r>
        <w:rPr>
          <w:rFonts w:hint="eastAsia" w:ascii="Times New Roman" w:hAnsi="Times New Roman"/>
          <w:i/>
          <w:sz w:val="20"/>
          <w:szCs w:val="20"/>
        </w:rPr>
        <w:t>If ping-pong issue is confirmed to be solved, AI based beam prediction can be also used as a potential solution to improve robustness of cell switch decision in addition to the filtering method.</w:t>
      </w:r>
    </w:p>
    <w:p>
      <w:pPr>
        <w:pStyle w:val="4"/>
        <w:spacing w:before="240" w:after="180" w:afterLines="50" w:line="240" w:lineRule="auto"/>
        <w:rPr>
          <w:sz w:val="21"/>
          <w:szCs w:val="21"/>
        </w:rPr>
      </w:pPr>
      <w:r>
        <w:rPr>
          <w:rFonts w:hint="eastAsia"/>
          <w:sz w:val="21"/>
          <w:szCs w:val="21"/>
        </w:rPr>
        <w:t>2.1.3</w:t>
      </w:r>
      <w:r>
        <w:rPr>
          <w:rFonts w:hint="eastAsia"/>
          <w:sz w:val="21"/>
          <w:szCs w:val="21"/>
        </w:rPr>
        <w:tab/>
      </w:r>
      <w:r>
        <w:rPr>
          <w:rFonts w:hint="eastAsia"/>
          <w:sz w:val="21"/>
          <w:szCs w:val="21"/>
        </w:rPr>
        <w:t>Measurement configuration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measurement configuration, it has been discussed in the previous RAN1 meetings but there is no consensus on how to design L1 measurement configuration. For this issue, our intuitive feeling is configuration related issue should be discussed and handled in RAN2, ra</w:t>
      </w:r>
      <w:r>
        <w:rPr>
          <w:rFonts w:ascii="Times New Roman" w:hAnsi="Times New Roman"/>
          <w:sz w:val="20"/>
          <w:szCs w:val="20"/>
        </w:rPr>
        <w:t xml:space="preserve">ther than </w:t>
      </w:r>
      <w:r>
        <w:rPr>
          <w:rFonts w:hint="eastAsia" w:ascii="Times New Roman" w:hAnsi="Times New Roman"/>
          <w:sz w:val="20"/>
          <w:szCs w:val="20"/>
        </w:rPr>
        <w:t>RAN1. However, in RAN2#119</w:t>
      </w:r>
      <w:r>
        <w:rPr>
          <w:rFonts w:ascii="Times New Roman" w:hAnsi="Times New Roman"/>
          <w:sz w:val="20"/>
          <w:szCs w:val="20"/>
        </w:rPr>
        <w:t>b</w:t>
      </w:r>
      <w:r>
        <w:rPr>
          <w:rFonts w:hint="eastAsia" w:ascii="Times New Roman" w:hAnsi="Times New Roman"/>
          <w:sz w:val="20"/>
          <w:szCs w:val="20"/>
        </w:rPr>
        <w:t>is-e meeting [4], RAN2 assumed that RAN1 will drive discussion on L1 measurement and related conclusion is as follows:</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8"/>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 xml:space="preserve">RAN2 assumes that RAN1 will drive discussions on L1 measurement enhancements, if any. If RAN1 identifies the need for e.g. event reporting, filtering etc, RAN2 can then be involved if needed.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RAN1#111 meeting, the following four potential alternatives are identified but not be intensively discussed due to lack of time. </w:t>
      </w:r>
    </w:p>
    <w:p>
      <w:pPr>
        <w:numPr>
          <w:ilvl w:val="255"/>
          <w:numId w:val="0"/>
        </w:numPr>
        <w:snapToGrid w:val="0"/>
        <w:spacing w:before="180" w:beforeLines="50" w:after="180" w:afterLines="50" w:line="288" w:lineRule="auto"/>
        <w:jc w:val="both"/>
        <w:rPr>
          <w:rFonts w:ascii="Times New Roman" w:hAnsi="Times New Roman"/>
          <w:b/>
          <w:bCs/>
          <w:sz w:val="20"/>
          <w:szCs w:val="20"/>
          <w:u w:val="single"/>
        </w:rPr>
      </w:pPr>
      <w:r>
        <w:rPr>
          <w:rFonts w:ascii="Times New Roman" w:hAnsi="Times New Roman"/>
          <w:b/>
          <w:bCs/>
          <w:sz w:val="20"/>
          <w:szCs w:val="20"/>
          <w:u w:val="single"/>
        </w:rPr>
        <w:t xml:space="preserve">Option-1: </w:t>
      </w:r>
      <w:r>
        <w:rPr>
          <w:rFonts w:ascii="Times New Roman" w:hAnsi="Times New Roman"/>
          <w:b/>
          <w:bCs/>
          <w:sz w:val="20"/>
          <w:szCs w:val="20"/>
          <w:u w:val="single"/>
          <w:lang w:val="en-GB" w:eastAsia="ja-JP"/>
        </w:rPr>
        <w:t>Based on</w:t>
      </w:r>
      <w:r>
        <w:rPr>
          <w:rFonts w:ascii="Times New Roman" w:hAnsi="Times New Roman"/>
          <w:b/>
          <w:bCs/>
          <w:sz w:val="20"/>
          <w:szCs w:val="20"/>
          <w:u w:val="single"/>
        </w:rPr>
        <w:t xml:space="preserve"> CSI measurement configuration specified in Rel-17 ICBM</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Rel-17 ICBM, UE can be configured to measure SSB resources from non-serving cells using existing CSI measurement framework, where each configured SSB resource provided in the IE </w:t>
      </w:r>
      <w:r>
        <w:rPr>
          <w:rFonts w:hint="eastAsia" w:ascii="Times New Roman" w:hAnsi="Times New Roman"/>
          <w:i/>
          <w:iCs/>
          <w:sz w:val="20"/>
          <w:szCs w:val="20"/>
        </w:rPr>
        <w:t>CSI-SSB-ResourceSet</w:t>
      </w:r>
      <w:r>
        <w:rPr>
          <w:rFonts w:hint="eastAsia" w:ascii="Times New Roman" w:hAnsi="Times New Roman"/>
          <w:sz w:val="20"/>
          <w:szCs w:val="20"/>
        </w:rPr>
        <w:t xml:space="preserve"> is associated with a physical cell identity (PCI) in ServingAdditionalPCI index-r17 and IE </w:t>
      </w:r>
      <w:r>
        <w:rPr>
          <w:rFonts w:hint="eastAsia" w:ascii="Times New Roman" w:hAnsi="Times New Roman"/>
          <w:i/>
          <w:iCs/>
          <w:sz w:val="20"/>
          <w:szCs w:val="20"/>
        </w:rPr>
        <w:t>CSI-SSB-ResourceSet</w:t>
      </w:r>
      <w:r>
        <w:rPr>
          <w:rFonts w:hint="eastAsia" w:ascii="Times New Roman" w:hAnsi="Times New Roman"/>
          <w:sz w:val="20"/>
          <w:szCs w:val="20"/>
        </w:rPr>
        <w:t xml:space="preserve"> is included under the IE </w:t>
      </w:r>
      <w:r>
        <w:rPr>
          <w:rFonts w:hint="eastAsia" w:ascii="Times New Roman" w:hAnsi="Times New Roman"/>
          <w:i/>
          <w:iCs/>
          <w:sz w:val="20"/>
          <w:szCs w:val="20"/>
        </w:rPr>
        <w:t xml:space="preserve">ServingCellConfig, </w:t>
      </w:r>
      <w:r>
        <w:rPr>
          <w:rFonts w:hint="eastAsia" w:ascii="Times New Roman" w:hAnsi="Times New Roman"/>
          <w:sz w:val="20"/>
          <w:szCs w:val="20"/>
        </w:rPr>
        <w:t xml:space="preserve">as shown in Figure 1. </w:t>
      </w:r>
    </w:p>
    <w:p>
      <w:pPr>
        <w:spacing w:after="0" w:line="240" w:lineRule="auto"/>
        <w:jc w:val="center"/>
        <w:rPr>
          <w:rFonts w:ascii="Times New Roman" w:hAnsi="Times New Roman"/>
          <w:sz w:val="20"/>
          <w:szCs w:val="20"/>
        </w:rPr>
      </w:pPr>
      <w:r>
        <w:rPr>
          <w:rFonts w:ascii="Times New Roman" w:hAnsi="Times New Roman"/>
          <w:sz w:val="20"/>
          <w:szCs w:val="20"/>
        </w:rPr>
        <w:object>
          <v:shape id="_x0000_i1025" o:spt="75" type="#_x0000_t75" style="height:171.5pt;width:468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Times New Roman" w:hAnsi="Times New Roman"/>
          <w:b/>
          <w:bCs/>
          <w:sz w:val="20"/>
          <w:szCs w:val="20"/>
        </w:rPr>
        <w:t>Figure 1. A structure of L1 measurement configuration for candidate cells based on Rel-17 ICBM framework</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the above Rel-17 ICBM framework, due to</w:t>
      </w:r>
      <w:r>
        <w:rPr>
          <w:rFonts w:ascii="Times New Roman" w:hAnsi="Times New Roman"/>
          <w:sz w:val="20"/>
          <w:szCs w:val="20"/>
        </w:rPr>
        <w:t xml:space="preserve"> that fact that</w:t>
      </w:r>
      <w:r>
        <w:rPr>
          <w:rFonts w:hint="eastAsia" w:ascii="Times New Roman" w:hAnsi="Times New Roman"/>
          <w:sz w:val="20"/>
          <w:szCs w:val="20"/>
        </w:rPr>
        <w:t xml:space="preserve"> only intra-DU and intra-frequency scenarios are supported, it is not needed to coordinate the measurement configuration between serving cell and non-serving cell in the same DU. However, if measurement configuration specified for Rel-17 ICBM is directly reused for Rel-18 LTM, it is required to introduce an additional signaling to support interaction among serving DU, CU and candidate DU, that is, serving DU needs to be informed the measurement configuration of candidate cell by CU. Note that whether such functionality can be supported needs to wait for RAN2/3 conclusion. Furthermore, measurement configurations for candidate cells are configured repeatedly, which will cause the heavy signaling structure and considerable signaling overhead.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If L1 inter-frequency measurement is supported, some enhancements are needed, such as introduce the frequency, SMTC or measurement gap (MG) with candidate cell in </w:t>
      </w:r>
      <w:r>
        <w:rPr>
          <w:rFonts w:hint="eastAsia" w:ascii="Times New Roman" w:hAnsi="Times New Roman"/>
          <w:i/>
          <w:iCs/>
          <w:sz w:val="20"/>
          <w:szCs w:val="20"/>
        </w:rPr>
        <w:t xml:space="preserve">ServingCellConfig. </w:t>
      </w:r>
      <w:r>
        <w:rPr>
          <w:rFonts w:ascii="Times New Roman" w:hAnsi="Times New Roman"/>
          <w:sz w:val="20"/>
          <w:szCs w:val="20"/>
        </w:rPr>
        <w:t xml:space="preserve">In such case, </w:t>
      </w:r>
      <w:r>
        <w:rPr>
          <w:rFonts w:hint="eastAsia" w:ascii="Times New Roman" w:hAnsi="Times New Roman"/>
          <w:sz w:val="20"/>
          <w:szCs w:val="20"/>
        </w:rPr>
        <w:t>whether L1 inter-frequency measurement to be supported and SMTC and MG to be introduced need to wait for RAN4 conclusion.</w:t>
      </w:r>
    </w:p>
    <w:p>
      <w:pPr>
        <w:numPr>
          <w:ilvl w:val="255"/>
          <w:numId w:val="0"/>
        </w:numPr>
        <w:snapToGrid w:val="0"/>
        <w:spacing w:before="180" w:beforeLines="50" w:after="180" w:afterLines="50" w:line="288" w:lineRule="auto"/>
        <w:jc w:val="both"/>
        <w:rPr>
          <w:rFonts w:ascii="Times New Roman" w:hAnsi="Times New Roman"/>
          <w:b/>
          <w:bCs/>
          <w:sz w:val="20"/>
          <w:szCs w:val="20"/>
          <w:u w:val="single"/>
        </w:rPr>
      </w:pPr>
      <w:r>
        <w:rPr>
          <w:rFonts w:ascii="Times New Roman" w:hAnsi="Times New Roman"/>
          <w:b/>
          <w:bCs/>
          <w:sz w:val="20"/>
          <w:szCs w:val="20"/>
          <w:u w:val="single"/>
        </w:rPr>
        <w:t xml:space="preserve">Option-2: Introduce </w:t>
      </w:r>
      <w:r>
        <w:rPr>
          <w:rFonts w:ascii="Times New Roman" w:hAnsi="Times New Roman"/>
          <w:b/>
          <w:bCs/>
          <w:sz w:val="20"/>
          <w:szCs w:val="20"/>
          <w:u w:val="single"/>
          <w:lang w:val="en-GB"/>
        </w:rPr>
        <w:t>a measurement configuration for candidate cell(s) and serving cell</w:t>
      </w:r>
      <w:r>
        <w:rPr>
          <w:rFonts w:ascii="Times New Roman" w:hAnsi="Times New Roman"/>
          <w:b/>
          <w:bCs/>
          <w:sz w:val="20"/>
          <w:szCs w:val="20"/>
          <w:u w:val="single"/>
        </w:rPr>
        <w:t xml:space="preserve"> and the measurement configuration is decoupled with serving cell configuration and configured outside serving cell and candidate cell.</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object>
          <v:shape id="_x0000_i1026" o:spt="75" type="#_x0000_t75" style="height:143pt;width:467.5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b/>
          <w:bCs/>
          <w:sz w:val="20"/>
          <w:szCs w:val="20"/>
        </w:rPr>
        <w:t>Figure 2. A structure of L1 measurement configuration for cells including serving cell and candidate cell</w:t>
      </w:r>
    </w:p>
    <w:p>
      <w:pPr>
        <w:snapToGrid w:val="0"/>
        <w:spacing w:before="180" w:beforeLines="50" w:after="180" w:afterLines="50" w:line="288" w:lineRule="auto"/>
        <w:jc w:val="both"/>
        <w:rPr>
          <w:rFonts w:ascii="Times New Roman" w:hAnsi="Times New Roman"/>
          <w:color w:val="0000FF"/>
          <w:sz w:val="20"/>
          <w:szCs w:val="20"/>
        </w:rPr>
      </w:pPr>
      <w:r>
        <w:rPr>
          <w:rFonts w:hint="eastAsia" w:ascii="Times New Roman" w:hAnsi="Times New Roman"/>
          <w:sz w:val="20"/>
          <w:szCs w:val="20"/>
        </w:rPr>
        <w:t>Compared with Option-1, Option-2 can provide an independent measurement configuration for all cells including serving cell and candidate cell(s) and such configuration is decoupled with measurement configuration of serving cell and configured outside ServingCellConfig and CellGroupConfig as shown in Figure 2. The benefit to do this is to build a lighter and more flexible RRC configuration structure to avoid duplicate configuration of L1 measurement resource for candidate cells in consecutive cell switch scenario.</w:t>
      </w:r>
    </w:p>
    <w:p>
      <w:pPr>
        <w:numPr>
          <w:ilvl w:val="255"/>
          <w:numId w:val="0"/>
        </w:numPr>
        <w:snapToGrid w:val="0"/>
        <w:spacing w:before="180" w:beforeLines="50" w:after="180" w:afterLines="50" w:line="288" w:lineRule="auto"/>
        <w:jc w:val="both"/>
        <w:rPr>
          <w:rFonts w:ascii="Times New Roman" w:hAnsi="Times New Roman"/>
          <w:b/>
          <w:bCs/>
          <w:sz w:val="20"/>
          <w:szCs w:val="20"/>
          <w:u w:val="single"/>
        </w:rPr>
      </w:pPr>
      <w:r>
        <w:rPr>
          <w:rFonts w:ascii="Times New Roman" w:hAnsi="Times New Roman"/>
          <w:b/>
          <w:bCs/>
          <w:sz w:val="20"/>
          <w:szCs w:val="20"/>
          <w:u w:val="single"/>
        </w:rPr>
        <w:t>Option-3: Measurement configuration for each cell including serving cell and candidate cell.</w: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sz w:val="20"/>
          <w:szCs w:val="20"/>
        </w:rPr>
        <w:object>
          <v:shape id="_x0000_i1027" o:spt="75" type="#_x0000_t75" style="height:175.5pt;width:467.5pt;" o:ole="t" filled="f" o:preferrelative="t" stroked="f" coordsize="21600,21600">
            <v:path/>
            <v:fill on="f" focussize="0,0"/>
            <v:stroke on="f" joinstyle="miter"/>
            <v:imagedata r:id="rId12" o:title=""/>
            <o:lock v:ext="edit" aspectratio="f"/>
            <w10:wrap type="none"/>
            <w10:anchorlock/>
          </v:shape>
          <o:OLEObject Type="Embed" ProgID="Visio.Drawing.15" ShapeID="_x0000_i1027" DrawAspect="Content" ObjectID="_1468075727" r:id="rId11">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b/>
          <w:bCs/>
          <w:sz w:val="20"/>
          <w:szCs w:val="20"/>
        </w:rPr>
        <w:t>Figure 3. A structure of L1 measurement configuration for each cell including serving cell and candidate cell</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Option-3, UE can be configured a measurement configuration for each cell including serving cell and candidate cell, that is, each candidate cell and serving cell configures its own measurement information. UE can perform L1 measurement based on pre-configured candidate cells by RRC and report related measurement results to NW but the premise is that the UE must first parse each cell to get the measurement information of corresponding cell. Although this approach can avoid to introduce new signaling to let serving DU know the measurement configuration of candidate cell served by candidate DU, it is at the cost of increasing UE complexity to parse all information of corresponding cell.</w:t>
      </w:r>
      <w:r>
        <w:rPr>
          <w:rFonts w:ascii="Times New Roman" w:hAnsi="Times New Roman"/>
          <w:sz w:val="20"/>
          <w:szCs w:val="20"/>
        </w:rPr>
        <w:t xml:space="preserve"> </w:t>
      </w:r>
    </w:p>
    <w:p>
      <w:pPr>
        <w:numPr>
          <w:ilvl w:val="255"/>
          <w:numId w:val="0"/>
        </w:numPr>
        <w:snapToGrid w:val="0"/>
        <w:spacing w:before="180" w:beforeLines="50" w:after="180" w:afterLines="50" w:line="288" w:lineRule="auto"/>
        <w:jc w:val="both"/>
        <w:rPr>
          <w:rFonts w:ascii="Times New Roman" w:hAnsi="Times New Roman"/>
          <w:b/>
          <w:bCs/>
          <w:sz w:val="20"/>
          <w:szCs w:val="20"/>
          <w:u w:val="single"/>
        </w:rPr>
      </w:pPr>
      <w:r>
        <w:rPr>
          <w:rFonts w:ascii="Times New Roman" w:hAnsi="Times New Roman"/>
          <w:b/>
          <w:bCs/>
          <w:sz w:val="20"/>
          <w:szCs w:val="20"/>
          <w:u w:val="single"/>
        </w:rPr>
        <w:t xml:space="preserve">Option-4: </w:t>
      </w:r>
      <w:r>
        <w:rPr>
          <w:rFonts w:ascii="Times New Roman" w:hAnsi="Times New Roman"/>
          <w:b/>
          <w:bCs/>
          <w:sz w:val="20"/>
          <w:szCs w:val="20"/>
          <w:u w:val="single"/>
          <w:lang w:val="en-GB" w:eastAsia="ja-JP"/>
        </w:rPr>
        <w:t>Do not include RS information or cell information in measurement configurations</w:t>
      </w:r>
      <w:r>
        <w:rPr>
          <w:rFonts w:ascii="Times New Roman" w:hAnsi="Times New Roman"/>
          <w:b/>
          <w:bCs/>
          <w:sz w:val="20"/>
          <w:szCs w:val="20"/>
          <w:u w:val="single"/>
        </w:rPr>
        <w: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Option-4, when only SSB is supported in Rel-18 LTM, even if SSB information is not configured, UE can also perform SSB measurement through blind detection. However, for CSI-RS, if any CSI-RS related measurement information is not configured, it is difficult for UE to perform measurement.</w:t>
      </w:r>
      <w:r>
        <w:rPr>
          <w:rFonts w:ascii="Times New Roman" w:hAnsi="Times New Roman"/>
          <w:sz w:val="20"/>
          <w:szCs w:val="20"/>
        </w:rPr>
        <w:t xml:space="preserve"> </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Based on the above analysis, </w:t>
      </w:r>
      <w:r>
        <w:rPr>
          <w:rFonts w:hint="eastAsia" w:ascii="Times New Roman" w:hAnsi="Times New Roman"/>
          <w:sz w:val="20"/>
          <w:szCs w:val="20"/>
        </w:rPr>
        <w:t xml:space="preserve">we believe that </w:t>
      </w:r>
      <w:r>
        <w:rPr>
          <w:rFonts w:ascii="Times New Roman" w:hAnsi="Times New Roman"/>
          <w:sz w:val="20"/>
          <w:szCs w:val="20"/>
        </w:rPr>
        <w:t xml:space="preserve">Option-2 </w:t>
      </w:r>
      <w:r>
        <w:rPr>
          <w:rFonts w:hint="eastAsia" w:ascii="Times New Roman" w:hAnsi="Times New Roman"/>
          <w:sz w:val="20"/>
          <w:szCs w:val="20"/>
        </w:rPr>
        <w:t>is a good choice to</w:t>
      </w:r>
      <w:r>
        <w:rPr>
          <w:rFonts w:ascii="Times New Roman" w:hAnsi="Times New Roman"/>
          <w:sz w:val="20"/>
          <w:szCs w:val="20"/>
        </w:rPr>
        <w:t xml:space="preserve"> provide an independent and slim </w:t>
      </w:r>
      <w:r>
        <w:rPr>
          <w:rFonts w:hint="eastAsia" w:ascii="Times New Roman" w:hAnsi="Times New Roman"/>
          <w:sz w:val="20"/>
          <w:szCs w:val="20"/>
        </w:rPr>
        <w:t xml:space="preserve">and flexible </w:t>
      </w:r>
      <w:r>
        <w:rPr>
          <w:rFonts w:ascii="Times New Roman" w:hAnsi="Times New Roman"/>
          <w:sz w:val="20"/>
          <w:szCs w:val="20"/>
        </w:rPr>
        <w:t xml:space="preserve">configuration architecture compared to </w:t>
      </w:r>
      <w:r>
        <w:rPr>
          <w:rFonts w:hint="eastAsia" w:ascii="Times New Roman" w:hAnsi="Times New Roman"/>
          <w:sz w:val="20"/>
          <w:szCs w:val="20"/>
        </w:rPr>
        <w:t>other candidate alternatives.</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Option-2 (</w:t>
      </w:r>
      <w:r>
        <w:rPr>
          <w:rFonts w:hint="eastAsia" w:ascii="Times New Roman" w:hAnsi="Times New Roman"/>
          <w:i/>
          <w:sz w:val="20"/>
          <w:szCs w:val="20"/>
          <w:lang w:val="en-US" w:eastAsia="zh-CN"/>
        </w:rPr>
        <w:t>i</w:t>
      </w:r>
      <w:r>
        <w:rPr>
          <w:rFonts w:hint="eastAsia" w:ascii="Times New Roman" w:hAnsi="Times New Roman"/>
          <w:i/>
          <w:sz w:val="20"/>
          <w:szCs w:val="20"/>
        </w:rPr>
        <w:t>ntroduce a measurement configuration for candidate cell(s) and serving cell and the measurement configuration is decoupled with serving cell configuration and configured outside serving cell and candidate cell) should be supported considering that it can provide an independent and slim and flexible configuration architecture in consecutive cell switch scenario.</w:t>
      </w:r>
    </w:p>
    <w:p>
      <w:pPr>
        <w:pStyle w:val="3"/>
        <w:spacing w:before="240" w:after="180" w:afterLines="50" w:line="240" w:lineRule="auto"/>
        <w:rPr>
          <w:rFonts w:eastAsia="宋体"/>
          <w:szCs w:val="24"/>
        </w:rPr>
      </w:pPr>
      <w:r>
        <w:rPr>
          <w:rFonts w:hint="eastAsia" w:eastAsia="宋体"/>
          <w:szCs w:val="24"/>
        </w:rPr>
        <w:t>2.2</w:t>
      </w:r>
      <w:r>
        <w:rPr>
          <w:rFonts w:hint="eastAsia" w:eastAsia="宋体"/>
          <w:szCs w:val="24"/>
        </w:rPr>
        <w:tab/>
      </w:r>
      <w:r>
        <w:rPr>
          <w:rFonts w:hint="eastAsia" w:eastAsia="宋体"/>
          <w:szCs w:val="24"/>
        </w:rPr>
        <w:t>Measurement reporting</w:t>
      </w:r>
    </w:p>
    <w:p>
      <w:pPr>
        <w:pStyle w:val="4"/>
        <w:spacing w:before="240" w:after="180" w:afterLines="50" w:line="240" w:lineRule="auto"/>
        <w:rPr>
          <w:rFonts w:eastAsia="宋体"/>
          <w:sz w:val="21"/>
          <w:szCs w:val="21"/>
        </w:rPr>
      </w:pPr>
      <w:r>
        <w:rPr>
          <w:rFonts w:hint="eastAsia"/>
          <w:sz w:val="21"/>
          <w:szCs w:val="21"/>
        </w:rPr>
        <w:t>2.2.1</w:t>
      </w:r>
      <w:r>
        <w:rPr>
          <w:rFonts w:hint="eastAsia"/>
          <w:sz w:val="21"/>
          <w:szCs w:val="21"/>
        </w:rPr>
        <w:tab/>
      </w:r>
      <w:r>
        <w:rPr>
          <w:rFonts w:eastAsia="宋体"/>
          <w:b/>
          <w:sz w:val="21"/>
          <w:szCs w:val="21"/>
        </w:rPr>
        <w:t>CSI reporting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RAN1#111 meeting, it has </w:t>
      </w:r>
      <w:r>
        <w:rPr>
          <w:rFonts w:ascii="Times New Roman" w:hAnsi="Times New Roman"/>
          <w:sz w:val="20"/>
          <w:szCs w:val="20"/>
        </w:rPr>
        <w:t xml:space="preserve">been </w:t>
      </w:r>
      <w:r>
        <w:rPr>
          <w:rFonts w:hint="eastAsia" w:ascii="Times New Roman" w:hAnsi="Times New Roman"/>
          <w:sz w:val="20"/>
          <w:szCs w:val="20"/>
        </w:rPr>
        <w:t>agreed that semi-persistent and aperiodic report on PUSCH are supported for Rel-18 LTM. However, whether periodic and semi-persistent report on PUCCH should be supported needs to be further studied. In our view, we have no see any strongly reason not to support periodic and semi-persistent report on PUCCH since the payload size of PUCCH is enough to carry the required report content</w:t>
      </w:r>
      <w:r>
        <w:rPr>
          <w:rFonts w:ascii="Times New Roman" w:hAnsi="Times New Roman"/>
          <w:sz w:val="20"/>
          <w:szCs w:val="20"/>
        </w:rPr>
        <w:t>.</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0" w:line="360" w:lineRule="auto"/>
              <w:jc w:val="both"/>
              <w:textAlignment w:val="auto"/>
              <w:rPr>
                <w:rFonts w:ascii="Times New Roman" w:hAnsi="Times New Roman" w:eastAsia="Batang"/>
                <w:b/>
                <w:sz w:val="20"/>
                <w:szCs w:val="24"/>
                <w:highlight w:val="none"/>
                <w:u w:val="single"/>
                <w:lang w:val="en-GB" w:eastAsia="en-US"/>
              </w:rPr>
            </w:pPr>
            <w:r>
              <w:rPr>
                <w:rFonts w:ascii="Times New Roman" w:hAnsi="Times New Roman" w:eastAsia="Batang"/>
                <w:b/>
                <w:sz w:val="20"/>
                <w:szCs w:val="24"/>
                <w:highlight w:val="none"/>
                <w:u w:val="single"/>
                <w:lang w:val="en-GB" w:eastAsia="en-US"/>
              </w:rPr>
              <w:t>Agreement</w:t>
            </w:r>
          </w:p>
          <w:p>
            <w:pPr>
              <w:numPr>
                <w:ilvl w:val="0"/>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For gNB scheduled L1 measurement report for Rel-18 LTM, report as UCI is supported</w:t>
            </w:r>
          </w:p>
          <w:p>
            <w:pPr>
              <w:numPr>
                <w:ilvl w:val="1"/>
                <w:numId w:val="7"/>
              </w:numPr>
              <w:snapToGrid w:val="0"/>
              <w:spacing w:after="100" w:afterAutospacing="1"/>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Semi-persistent report on PUSCH, and aperiodic report on PUSCH are supported</w:t>
            </w:r>
          </w:p>
          <w:p>
            <w:pPr>
              <w:numPr>
                <w:ilvl w:val="2"/>
                <w:numId w:val="7"/>
              </w:numPr>
              <w:snapToGrid w:val="0"/>
              <w:spacing w:after="100" w:afterAutospacing="1"/>
              <w:jc w:val="both"/>
              <w:rPr>
                <w:rFonts w:ascii="Times New Roman" w:hAnsi="Times New Roman" w:eastAsia="Batang"/>
                <w:sz w:val="20"/>
                <w:szCs w:val="20"/>
                <w:lang w:val="en-GB" w:eastAsia="en-US"/>
              </w:rPr>
            </w:pPr>
            <w:r>
              <w:rPr>
                <w:rFonts w:hint="eastAsia" w:ascii="Times New Roman" w:hAnsi="Times New Roman" w:eastAsia="Batang"/>
                <w:sz w:val="20"/>
                <w:szCs w:val="20"/>
                <w:lang w:val="en-GB" w:eastAsia="en-US"/>
              </w:rPr>
              <w:t>F</w:t>
            </w:r>
            <w:r>
              <w:rPr>
                <w:rFonts w:ascii="Times New Roman" w:hAnsi="Times New Roman" w:eastAsia="Batang"/>
                <w:sz w:val="20"/>
                <w:szCs w:val="20"/>
                <w:lang w:val="en-GB" w:eastAsia="en-US"/>
              </w:rPr>
              <w:t>FS: periodic and semi-persistent PUCCH</w:t>
            </w:r>
          </w:p>
          <w:p>
            <w:pPr>
              <w:numPr>
                <w:ilvl w:val="1"/>
                <w:numId w:val="7"/>
              </w:numPr>
              <w:snapToGrid w:val="0"/>
              <w:spacing w:after="0"/>
              <w:ind w:left="839"/>
              <w:jc w:val="both"/>
              <w:rPr>
                <w:rFonts w:ascii="Times New Roman" w:hAnsi="Times New Roman"/>
                <w:sz w:val="20"/>
                <w:szCs w:val="20"/>
              </w:rPr>
            </w:pPr>
            <w:r>
              <w:rPr>
                <w:rFonts w:hint="eastAsia" w:ascii="Times New Roman" w:hAnsi="Times New Roman" w:eastAsia="Batang"/>
                <w:sz w:val="20"/>
                <w:szCs w:val="20"/>
                <w:lang w:val="en-GB" w:eastAsia="en-US"/>
              </w:rPr>
              <w:t>I</w:t>
            </w:r>
            <w:r>
              <w:rPr>
                <w:rFonts w:ascii="Times New Roman" w:hAnsi="Times New Roman" w:eastAsia="Batang"/>
                <w:sz w:val="20"/>
                <w:szCs w:val="20"/>
                <w:lang w:val="en-GB" w:eastAsia="en-US"/>
              </w:rPr>
              <w:t>n a single report instance, report for serving cell and candidate cell(s) for intra-frequency and/or inter-frequency can be included</w:t>
            </w:r>
          </w:p>
        </w:tc>
      </w:tr>
    </w:tbl>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Periodic and semi-persistent report on PUCCH should be supported in Rel-18 LTM.</w:t>
      </w:r>
      <w:r>
        <w:rPr>
          <w:rFonts w:ascii="Times New Roman" w:hAnsi="Times New Roman"/>
          <w:i/>
          <w:sz w:val="20"/>
          <w:szCs w:val="20"/>
        </w:rPr>
        <w:t xml:space="preserve">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On the maximum number of reported beam</w:t>
      </w:r>
      <w:r>
        <w:rPr>
          <w:rFonts w:ascii="Times New Roman" w:hAnsi="Times New Roman"/>
          <w:sz w:val="20"/>
          <w:szCs w:val="20"/>
        </w:rPr>
        <w:t>s</w:t>
      </w:r>
      <w:r>
        <w:rPr>
          <w:rFonts w:hint="eastAsia" w:ascii="Times New Roman" w:hAnsi="Times New Roman"/>
          <w:sz w:val="20"/>
          <w:szCs w:val="20"/>
        </w:rPr>
        <w:t>, Rel-17 ICBM supports up to 4 resource indexes to be reported in a single reporting instance. In Rel-18 LTM, we think that at least same values specified in Rel-17 ICBM can be reused. As for whether it is necessary to extend the maximum number of reported beam</w:t>
      </w:r>
      <w:r>
        <w:rPr>
          <w:rFonts w:ascii="Times New Roman" w:hAnsi="Times New Roman"/>
          <w:sz w:val="20"/>
          <w:szCs w:val="20"/>
        </w:rPr>
        <w:t>s</w:t>
      </w:r>
      <w:r>
        <w:rPr>
          <w:rFonts w:hint="eastAsia" w:ascii="Times New Roman" w:hAnsi="Times New Roman"/>
          <w:sz w:val="20"/>
          <w:szCs w:val="20"/>
        </w:rPr>
        <w:t xml:space="preserve"> in a single reporting instance, we do not see a strong need and additional benefit since the final decision to switch to which candidate cell or stay in current serving cell is determined by base station based on overall network deployment and reporting measurement results, not just reporting measurement results.</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ascii="Times New Roman" w:hAnsi="Times New Roman"/>
          <w:i/>
          <w:sz w:val="20"/>
          <w:szCs w:val="20"/>
        </w:rPr>
        <w:t xml:space="preserve"> In a single reporting instance, the maximum number of reported beam</w:t>
      </w:r>
      <w:r>
        <w:rPr>
          <w:rFonts w:hint="eastAsia" w:ascii="Times New Roman" w:hAnsi="Times New Roman"/>
          <w:i/>
          <w:sz w:val="20"/>
          <w:szCs w:val="20"/>
        </w:rPr>
        <w:t>s</w:t>
      </w:r>
      <w:r>
        <w:rPr>
          <w:rFonts w:ascii="Times New Roman" w:hAnsi="Times New Roman"/>
          <w:i/>
          <w:sz w:val="20"/>
          <w:szCs w:val="20"/>
        </w:rPr>
        <w:t xml:space="preserve"> for Rel-18 L</w:t>
      </w:r>
      <w:r>
        <w:rPr>
          <w:rFonts w:hint="eastAsia" w:ascii="Times New Roman" w:hAnsi="Times New Roman"/>
          <w:i/>
          <w:sz w:val="20"/>
          <w:szCs w:val="20"/>
        </w:rPr>
        <w:t>TM is 4</w:t>
      </w:r>
      <w:r>
        <w:rPr>
          <w:rFonts w:ascii="Times New Roman" w:hAnsi="Times New Roman"/>
          <w:i/>
          <w:sz w:val="20"/>
          <w:szCs w:val="20"/>
        </w:rPr>
        <w:t xml:space="preserve">, which is same with Rel-17 ICBM.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On the format of beam based measurement reporting, Rel-18 LTM can reuse the same rule with Rel-17 ICBM to avoid additional specification impact, i.e., a 7-bit absolute RSRP and 4-bit differential RSRP.</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ascii="Times New Roman" w:hAnsi="Times New Roman"/>
          <w:i/>
          <w:sz w:val="20"/>
          <w:szCs w:val="20"/>
        </w:rPr>
        <w:t xml:space="preserve"> The format of beam based measurement reporting specified in Rel-17 ICBM can be reused for Rel-18 L</w:t>
      </w:r>
      <w:r>
        <w:rPr>
          <w:rFonts w:hint="eastAsia" w:ascii="Times New Roman" w:hAnsi="Times New Roman"/>
          <w:i/>
          <w:sz w:val="20"/>
          <w:szCs w:val="20"/>
        </w:rPr>
        <w:t>TM</w:t>
      </w:r>
      <w:r>
        <w:rPr>
          <w:rFonts w:ascii="Times New Roman" w:hAnsi="Times New Roman"/>
          <w:i/>
          <w:sz w:val="20"/>
          <w:szCs w:val="20"/>
        </w:rPr>
        <w:t>.</w:t>
      </w:r>
    </w:p>
    <w:p>
      <w:pPr>
        <w:pStyle w:val="4"/>
        <w:spacing w:before="240" w:after="180" w:afterLines="50" w:line="240" w:lineRule="auto"/>
        <w:rPr>
          <w:sz w:val="21"/>
          <w:szCs w:val="21"/>
        </w:rPr>
      </w:pPr>
      <w:r>
        <w:rPr>
          <w:rFonts w:hint="eastAsia"/>
          <w:sz w:val="21"/>
          <w:szCs w:val="21"/>
        </w:rPr>
        <w:t>2.2.2</w:t>
      </w:r>
      <w:r>
        <w:rPr>
          <w:rFonts w:hint="eastAsia"/>
          <w:sz w:val="21"/>
          <w:szCs w:val="21"/>
        </w:rPr>
        <w:tab/>
      </w:r>
      <w:r>
        <w:rPr>
          <w:rFonts w:hint="eastAsia"/>
          <w:sz w:val="21"/>
          <w:szCs w:val="21"/>
        </w:rPr>
        <w:t>Event-triggered reporting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Another issue to be discussed is whether to support event-triggered reporting for L1 measurement results in Rel-18 LTM. </w:t>
      </w:r>
      <w:r>
        <w:rPr>
          <w:rFonts w:ascii="Times New Roman" w:hAnsi="Times New Roman"/>
          <w:sz w:val="20"/>
          <w:szCs w:val="20"/>
        </w:rPr>
        <w:t>Considering huge signaling overhead</w:t>
      </w:r>
      <w:r>
        <w:rPr>
          <w:rFonts w:hint="eastAsia" w:ascii="Times New Roman" w:hAnsi="Times New Roman"/>
          <w:sz w:val="20"/>
          <w:szCs w:val="20"/>
        </w:rPr>
        <w:t xml:space="preserve"> and</w:t>
      </w:r>
      <w:r>
        <w:rPr>
          <w:rFonts w:ascii="Times New Roman" w:hAnsi="Times New Roman"/>
          <w:sz w:val="20"/>
          <w:szCs w:val="20"/>
        </w:rPr>
        <w:t xml:space="preserve"> UE energy consumption caused by the legacy CSI reporting framework, </w:t>
      </w:r>
      <w:r>
        <w:rPr>
          <w:rFonts w:hint="eastAsia" w:ascii="Times New Roman" w:hAnsi="Times New Roman"/>
          <w:sz w:val="20"/>
          <w:szCs w:val="20"/>
        </w:rPr>
        <w:t>we think that event-triggered</w:t>
      </w:r>
      <w:r>
        <w:rPr>
          <w:rFonts w:ascii="Times New Roman" w:hAnsi="Times New Roman"/>
          <w:sz w:val="20"/>
          <w:szCs w:val="20"/>
        </w:rPr>
        <w:t xml:space="preserve"> reporting </w:t>
      </w:r>
      <w:r>
        <w:rPr>
          <w:rFonts w:hint="eastAsia" w:ascii="Times New Roman" w:hAnsi="Times New Roman"/>
          <w:sz w:val="20"/>
          <w:szCs w:val="20"/>
        </w:rPr>
        <w:t xml:space="preserve">should </w:t>
      </w:r>
      <w:r>
        <w:rPr>
          <w:rFonts w:ascii="Times New Roman" w:hAnsi="Times New Roman"/>
          <w:sz w:val="20"/>
          <w:szCs w:val="20"/>
        </w:rPr>
        <w:t xml:space="preserve">be </w:t>
      </w:r>
      <w:r>
        <w:rPr>
          <w:rFonts w:hint="eastAsia" w:ascii="Times New Roman" w:hAnsi="Times New Roman"/>
          <w:sz w:val="20"/>
          <w:szCs w:val="20"/>
        </w:rPr>
        <w:t>introduced in Rel-18 LTM to compensate the shortage of CSI reporting method. From our point of view, we do not think that these two types of reporting methods are mutually exclusive. Rather, they complement each other. For instance</w:t>
      </w:r>
      <w:r>
        <w:rPr>
          <w:rFonts w:ascii="Times New Roman" w:hAnsi="Times New Roman"/>
          <w:sz w:val="20"/>
          <w:szCs w:val="20"/>
        </w:rPr>
        <w:t xml:space="preserve">, the UE </w:t>
      </w:r>
      <w:r>
        <w:rPr>
          <w:rFonts w:hint="eastAsia" w:ascii="Times New Roman" w:hAnsi="Times New Roman"/>
          <w:sz w:val="20"/>
          <w:szCs w:val="20"/>
        </w:rPr>
        <w:t xml:space="preserve">will report the result of </w:t>
      </w:r>
      <w:r>
        <w:rPr>
          <w:rFonts w:ascii="Times New Roman" w:hAnsi="Times New Roman"/>
          <w:sz w:val="20"/>
          <w:szCs w:val="20"/>
        </w:rPr>
        <w:t>L1 measurement</w:t>
      </w:r>
      <w:r>
        <w:rPr>
          <w:rFonts w:hint="eastAsia" w:ascii="Times New Roman" w:hAnsi="Times New Roman"/>
          <w:sz w:val="20"/>
          <w:szCs w:val="20"/>
        </w:rPr>
        <w:t xml:space="preserve"> to NW</w:t>
      </w:r>
      <w:r>
        <w:rPr>
          <w:rFonts w:ascii="Times New Roman" w:hAnsi="Times New Roman"/>
          <w:sz w:val="20"/>
          <w:szCs w:val="20"/>
        </w:rPr>
        <w:t xml:space="preserve"> </w:t>
      </w:r>
      <w:r>
        <w:rPr>
          <w:rFonts w:hint="eastAsia" w:ascii="Times New Roman" w:hAnsi="Times New Roman"/>
          <w:sz w:val="20"/>
          <w:szCs w:val="20"/>
        </w:rPr>
        <w:t>only if the</w:t>
      </w:r>
      <w:r>
        <w:rPr>
          <w:rFonts w:ascii="Times New Roman" w:hAnsi="Times New Roman"/>
          <w:sz w:val="20"/>
          <w:szCs w:val="20"/>
        </w:rPr>
        <w:t xml:space="preserve"> event </w:t>
      </w:r>
      <w:r>
        <w:rPr>
          <w:rFonts w:hint="eastAsia" w:ascii="Times New Roman" w:hAnsi="Times New Roman"/>
          <w:sz w:val="20"/>
          <w:szCs w:val="20"/>
        </w:rPr>
        <w:t xml:space="preserve">is triggered </w:t>
      </w:r>
      <w:r>
        <w:rPr>
          <w:rFonts w:ascii="Times New Roman" w:hAnsi="Times New Roman"/>
          <w:sz w:val="20"/>
          <w:szCs w:val="20"/>
        </w:rPr>
        <w:t>without waiting for a triggering command</w:t>
      </w:r>
      <w:r>
        <w:rPr>
          <w:rFonts w:hint="eastAsia" w:ascii="Times New Roman" w:hAnsi="Times New Roman"/>
          <w:sz w:val="20"/>
          <w:szCs w:val="20"/>
        </w:rPr>
        <w:t xml:space="preserve"> or indication</w:t>
      </w:r>
      <w:r>
        <w:rPr>
          <w:rFonts w:ascii="Times New Roman" w:hAnsi="Times New Roman"/>
          <w:sz w:val="20"/>
          <w:szCs w:val="20"/>
        </w:rPr>
        <w:t xml:space="preserve"> from NW</w:t>
      </w:r>
      <w:r>
        <w:rPr>
          <w:rFonts w:hint="eastAsia" w:ascii="Times New Roman" w:hAnsi="Times New Roman"/>
          <w:sz w:val="20"/>
          <w:szCs w:val="20"/>
        </w:rPr>
        <w:t xml:space="preserve"> side</w:t>
      </w:r>
      <w:r>
        <w:rPr>
          <w:rFonts w:ascii="Times New Roman" w:hAnsi="Times New Roman"/>
          <w:sz w:val="20"/>
          <w:szCs w:val="20"/>
        </w:rPr>
        <w: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order </w:t>
      </w:r>
      <w:r>
        <w:rPr>
          <w:rFonts w:ascii="Times New Roman" w:hAnsi="Times New Roman"/>
          <w:sz w:val="20"/>
          <w:szCs w:val="20"/>
        </w:rPr>
        <w:t>to support this method,</w:t>
      </w:r>
      <w:r>
        <w:rPr>
          <w:rFonts w:hint="eastAsia" w:ascii="Times New Roman" w:hAnsi="Times New Roman"/>
          <w:sz w:val="20"/>
          <w:szCs w:val="20"/>
        </w:rPr>
        <w:t xml:space="preserve"> the</w:t>
      </w:r>
      <w:r>
        <w:rPr>
          <w:rFonts w:ascii="Times New Roman" w:hAnsi="Times New Roman"/>
          <w:sz w:val="20"/>
          <w:szCs w:val="20"/>
        </w:rPr>
        <w:t xml:space="preserve"> event, i.e., </w:t>
      </w:r>
      <w:r>
        <w:rPr>
          <w:rFonts w:hint="eastAsia" w:ascii="Times New Roman" w:hAnsi="Times New Roman"/>
          <w:sz w:val="20"/>
          <w:szCs w:val="20"/>
        </w:rPr>
        <w:t>the condition to start/stop the reporting and container to report</w:t>
      </w:r>
      <w:r>
        <w:rPr>
          <w:rFonts w:ascii="Times New Roman" w:hAnsi="Times New Roman"/>
          <w:sz w:val="20"/>
          <w:szCs w:val="20"/>
        </w:rPr>
        <w:t>,</w:t>
      </w:r>
      <w:r>
        <w:rPr>
          <w:rFonts w:hint="eastAsia" w:ascii="Times New Roman" w:hAnsi="Times New Roman"/>
          <w:sz w:val="20"/>
          <w:szCs w:val="20"/>
        </w:rPr>
        <w:t xml:space="preserve"> need</w:t>
      </w:r>
      <w:r>
        <w:rPr>
          <w:rFonts w:ascii="Times New Roman" w:hAnsi="Times New Roman"/>
          <w:sz w:val="20"/>
          <w:szCs w:val="20"/>
        </w:rPr>
        <w:t xml:space="preserve"> be </w:t>
      </w:r>
      <w:r>
        <w:rPr>
          <w:rFonts w:hint="eastAsia" w:ascii="Times New Roman" w:hAnsi="Times New Roman"/>
          <w:sz w:val="20"/>
          <w:szCs w:val="20"/>
        </w:rPr>
        <w:t>defined</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Specifically</w:t>
      </w:r>
      <w:r>
        <w:rPr>
          <w:rFonts w:hint="eastAsia" w:ascii="Times New Roman" w:hAnsi="Times New Roman"/>
          <w:sz w:val="20"/>
          <w:szCs w:val="20"/>
        </w:rPr>
        <w:t xml:space="preserve">, on the definition of event, L1-RSRP corresponding to a RS from candidate cell is greater than the L1-RSRP measured from a RS from serving cell with an offset can be considered. On condition to start the reporting, some rules can be considered, e.g., the number of times the event is met, or the number of times the event happens is larger than or equal to a threshold value before Timer expires. On condition to end the reporting, some rules can be considered, e.g., the number of reporting is larger than or equal to a threshold, or, timer expiration to report. On report container, MAC CE can be considered to be used carrying measurement reporting since the event to trigger the reporting is not predictable from gNB side and using periodic resource might cause a waste of resources. </w:t>
      </w:r>
      <w:r>
        <w:rPr>
          <w:rFonts w:ascii="Times New Roman" w:hAnsi="Times New Roman"/>
          <w:sz w:val="20"/>
          <w:szCs w:val="20"/>
        </w:rPr>
        <w:t>Therefore</w:t>
      </w:r>
      <w:r>
        <w:rPr>
          <w:rFonts w:hint="eastAsia" w:ascii="Times New Roman" w:hAnsi="Times New Roman"/>
          <w:sz w:val="20"/>
          <w:szCs w:val="20"/>
        </w:rPr>
        <w:t>, similar BFR MAC CE can be considered.</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E</w:t>
      </w:r>
      <w:r>
        <w:rPr>
          <w:rFonts w:ascii="Times New Roman" w:hAnsi="Times New Roman"/>
          <w:i/>
          <w:sz w:val="20"/>
          <w:szCs w:val="20"/>
        </w:rPr>
        <w:t>vent-triggered reporting</w:t>
      </w:r>
      <w:r>
        <w:rPr>
          <w:rFonts w:hint="eastAsia" w:ascii="Times New Roman" w:hAnsi="Times New Roman"/>
          <w:i/>
          <w:sz w:val="20"/>
          <w:szCs w:val="20"/>
        </w:rPr>
        <w:t xml:space="preserve"> should be supported for Rel-18 LTM to compensate the shortage of </w:t>
      </w:r>
      <w:r>
        <w:rPr>
          <w:rFonts w:ascii="Times New Roman" w:hAnsi="Times New Roman"/>
          <w:i/>
          <w:sz w:val="20"/>
          <w:szCs w:val="20"/>
        </w:rPr>
        <w:t>CSI reporting</w:t>
      </w:r>
      <w:r>
        <w:rPr>
          <w:rFonts w:hint="eastAsia" w:ascii="Times New Roman" w:hAnsi="Times New Roman"/>
          <w:i/>
          <w:sz w:val="20"/>
          <w:szCs w:val="20"/>
        </w:rPr>
        <w:t>.</w:t>
      </w:r>
    </w:p>
    <w:p>
      <w:pPr>
        <w:numPr>
          <w:ilvl w:val="0"/>
          <w:numId w:val="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Note that CSI reporting and event-triggered reporting are not mutually exclusive, rather, complement each other.</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For e</w:t>
      </w:r>
      <w:r>
        <w:rPr>
          <w:rFonts w:ascii="Times New Roman" w:hAnsi="Times New Roman"/>
          <w:i/>
          <w:sz w:val="20"/>
          <w:szCs w:val="20"/>
        </w:rPr>
        <w:t>vent-triggered reporting</w:t>
      </w:r>
      <w:r>
        <w:rPr>
          <w:rFonts w:hint="eastAsia" w:ascii="Times New Roman" w:hAnsi="Times New Roman"/>
          <w:i/>
          <w:sz w:val="20"/>
          <w:szCs w:val="20"/>
        </w:rPr>
        <w:t>, it is recommended to define the event, condition to start/stop the reporting and container to report.</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For e</w:t>
      </w:r>
      <w:r>
        <w:rPr>
          <w:rFonts w:ascii="Times New Roman" w:hAnsi="Times New Roman"/>
          <w:i/>
          <w:sz w:val="20"/>
          <w:szCs w:val="20"/>
        </w:rPr>
        <w:t>vent-triggered reporting</w:t>
      </w:r>
      <w:r>
        <w:rPr>
          <w:rFonts w:hint="eastAsia" w:ascii="Times New Roman" w:hAnsi="Times New Roman"/>
          <w:i/>
          <w:sz w:val="20"/>
          <w:szCs w:val="20"/>
        </w:rPr>
        <w:t xml:space="preserve">, </w:t>
      </w:r>
      <w:r>
        <w:rPr>
          <w:rFonts w:ascii="Times New Roman" w:hAnsi="Times New Roman"/>
          <w:i/>
          <w:sz w:val="20"/>
          <w:szCs w:val="20"/>
        </w:rPr>
        <w:t>MAC CE (e.g., similar BFR MAC CE) can be used carrying measurement report to save UL resources.</w:t>
      </w:r>
    </w:p>
    <w:p>
      <w:pPr>
        <w:pStyle w:val="3"/>
        <w:spacing w:before="240" w:after="180" w:afterLines="50" w:line="240" w:lineRule="auto"/>
        <w:rPr>
          <w:rFonts w:eastAsia="宋体"/>
          <w:szCs w:val="24"/>
        </w:rPr>
      </w:pPr>
      <w:r>
        <w:rPr>
          <w:rFonts w:hint="eastAsia" w:eastAsia="宋体"/>
          <w:szCs w:val="24"/>
        </w:rPr>
        <w:t>2.3</w:t>
      </w:r>
      <w:r>
        <w:rPr>
          <w:rFonts w:hint="eastAsia" w:eastAsia="宋体"/>
          <w:szCs w:val="24"/>
        </w:rPr>
        <w:tab/>
      </w:r>
      <w:r>
        <w:rPr>
          <w:rFonts w:hint="eastAsia" w:eastAsia="宋体"/>
          <w:szCs w:val="24"/>
        </w:rPr>
        <w:t>Selection of candidate cells and/or beams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To reduce UE energy consumption and support consecutive cell switch scenario, it should be supported that NW dynamically select a subset of candidate cells and/or beams to be measured from the configured candidate cells and/or beams configured by RRC as shown in Figure 4, rather than all RRC pre-configured candidate cells and/or beams in pool directly to be used for measurement at UE side.</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28" o:spt="75" type="#_x0000_t75" style="height:207.5pt;width:237.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sz w:val="20"/>
          <w:szCs w:val="20"/>
        </w:rPr>
        <w:t xml:space="preserve">Figure </w:t>
      </w:r>
      <w:r>
        <w:rPr>
          <w:rFonts w:hint="eastAsia" w:ascii="Times New Roman" w:hAnsi="Times New Roman"/>
          <w:b/>
          <w:sz w:val="20"/>
          <w:szCs w:val="20"/>
        </w:rPr>
        <w:t>4.</w:t>
      </w:r>
      <w:r>
        <w:rPr>
          <w:rFonts w:ascii="Times New Roman" w:hAnsi="Times New Roman"/>
          <w:sz w:val="20"/>
          <w:szCs w:val="20"/>
        </w:rPr>
        <w:t xml:space="preserve"> </w:t>
      </w:r>
      <w:r>
        <w:rPr>
          <w:rFonts w:hint="eastAsia" w:ascii="Times New Roman" w:hAnsi="Times New Roman"/>
          <w:sz w:val="20"/>
          <w:szCs w:val="20"/>
        </w:rPr>
        <w:t>Selection</w:t>
      </w:r>
      <w:r>
        <w:rPr>
          <w:rFonts w:ascii="Times New Roman" w:hAnsi="Times New Roman"/>
          <w:sz w:val="20"/>
          <w:szCs w:val="20"/>
        </w:rPr>
        <w:t xml:space="preserve"> of candidate cells</w:t>
      </w:r>
      <w:r>
        <w:rPr>
          <w:rFonts w:hint="eastAsia" w:ascii="Times New Roman" w:hAnsi="Times New Roman"/>
          <w:sz w:val="20"/>
          <w:szCs w:val="20"/>
        </w:rPr>
        <w:t xml:space="preserve"> </w:t>
      </w:r>
      <w:r>
        <w:rPr>
          <w:rFonts w:ascii="Times New Roman" w:hAnsi="Times New Roman"/>
          <w:sz w:val="20"/>
          <w:szCs w:val="20"/>
        </w:rPr>
        <w:t>and</w:t>
      </w:r>
      <w:r>
        <w:rPr>
          <w:rFonts w:hint="eastAsia" w:ascii="Times New Roman" w:hAnsi="Times New Roman"/>
          <w:sz w:val="20"/>
          <w:szCs w:val="20"/>
        </w:rPr>
        <w:t>/or</w:t>
      </w:r>
      <w:r>
        <w:rPr>
          <w:rFonts w:ascii="Times New Roman" w:hAnsi="Times New Roman"/>
          <w:sz w:val="20"/>
          <w:szCs w:val="20"/>
        </w:rPr>
        <w:t xml:space="preserve"> TCI state</w:t>
      </w:r>
      <w:r>
        <w:rPr>
          <w:rFonts w:hint="eastAsia" w:ascii="Times New Roman" w:hAnsi="Times New Roman"/>
          <w:sz w:val="20"/>
          <w:szCs w:val="20"/>
        </w:rPr>
        <w:t>s corresponding to candidate cell</w:t>
      </w:r>
    </w:p>
    <w:p>
      <w:pPr>
        <w:snapToGrid w:val="0"/>
        <w:spacing w:before="180" w:beforeLines="50" w:after="0" w:line="288" w:lineRule="auto"/>
        <w:jc w:val="both"/>
        <w:rPr>
          <w:rStyle w:val="35"/>
          <w:i/>
          <w:iCs/>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 xml:space="preserve">: </w:t>
      </w:r>
      <w:r>
        <w:rPr>
          <w:rFonts w:ascii="Times New Roman" w:hAnsi="Times New Roman"/>
          <w:bCs/>
          <w:i/>
          <w:iCs/>
          <w:sz w:val="20"/>
          <w:szCs w:val="20"/>
        </w:rPr>
        <w:t>From UE energy consumption</w:t>
      </w:r>
      <w:r>
        <w:rPr>
          <w:rFonts w:hint="eastAsia" w:ascii="Times New Roman" w:hAnsi="Times New Roman"/>
          <w:bCs/>
          <w:i/>
          <w:iCs/>
          <w:sz w:val="20"/>
          <w:szCs w:val="20"/>
        </w:rPr>
        <w:t xml:space="preserve"> and supporting consecutive cell switch</w:t>
      </w:r>
      <w:r>
        <w:rPr>
          <w:rFonts w:ascii="Times New Roman" w:hAnsi="Times New Roman"/>
          <w:bCs/>
          <w:i/>
          <w:iCs/>
          <w:sz w:val="20"/>
          <w:szCs w:val="20"/>
        </w:rPr>
        <w:t xml:space="preserve"> </w:t>
      </w:r>
      <w:r>
        <w:rPr>
          <w:rFonts w:hint="eastAsia" w:ascii="Times New Roman" w:hAnsi="Times New Roman"/>
          <w:bCs/>
          <w:i/>
          <w:iCs/>
          <w:sz w:val="20"/>
          <w:szCs w:val="20"/>
        </w:rPr>
        <w:t xml:space="preserve">scenario </w:t>
      </w:r>
      <w:r>
        <w:rPr>
          <w:rFonts w:ascii="Times New Roman" w:hAnsi="Times New Roman"/>
          <w:bCs/>
          <w:i/>
          <w:iCs/>
          <w:sz w:val="20"/>
          <w:szCs w:val="20"/>
        </w:rPr>
        <w:t>point of view, support</w:t>
      </w:r>
      <w:r>
        <w:rPr>
          <w:rFonts w:hint="eastAsia" w:ascii="Times New Roman" w:hAnsi="Times New Roman"/>
          <w:bCs/>
          <w:i/>
          <w:iCs/>
          <w:sz w:val="20"/>
          <w:szCs w:val="20"/>
        </w:rPr>
        <w:t xml:space="preserve"> UE to only measure a subset of</w:t>
      </w:r>
      <w:r>
        <w:rPr>
          <w:rFonts w:ascii="Times New Roman" w:hAnsi="Times New Roman"/>
          <w:bCs/>
          <w:i/>
          <w:iCs/>
          <w:sz w:val="20"/>
          <w:szCs w:val="20"/>
        </w:rPr>
        <w:t xml:space="preserve"> candidate cells </w:t>
      </w:r>
      <w:r>
        <w:rPr>
          <w:rFonts w:hint="eastAsia" w:ascii="Times New Roman" w:hAnsi="Times New Roman"/>
          <w:bCs/>
          <w:i/>
          <w:iCs/>
          <w:sz w:val="20"/>
          <w:szCs w:val="20"/>
        </w:rPr>
        <w:t xml:space="preserve">and/or beams selected </w:t>
      </w:r>
      <w:r>
        <w:rPr>
          <w:rFonts w:ascii="Times New Roman" w:hAnsi="Times New Roman"/>
          <w:bCs/>
          <w:i/>
          <w:iCs/>
          <w:sz w:val="20"/>
          <w:szCs w:val="20"/>
        </w:rPr>
        <w:t>from</w:t>
      </w:r>
      <w:r>
        <w:rPr>
          <w:rFonts w:hint="eastAsia" w:ascii="Times New Roman" w:hAnsi="Times New Roman"/>
          <w:bCs/>
          <w:i/>
          <w:iCs/>
          <w:sz w:val="20"/>
          <w:szCs w:val="20"/>
        </w:rPr>
        <w:t xml:space="preserve"> RRC</w:t>
      </w:r>
      <w:r>
        <w:rPr>
          <w:rFonts w:ascii="Times New Roman" w:hAnsi="Times New Roman"/>
          <w:bCs/>
          <w:i/>
          <w:iCs/>
          <w:sz w:val="20"/>
          <w:szCs w:val="20"/>
        </w:rPr>
        <w:t xml:space="preserve"> pre-configured candidate cell</w:t>
      </w:r>
      <w:r>
        <w:rPr>
          <w:rFonts w:hint="eastAsia" w:ascii="Times New Roman" w:hAnsi="Times New Roman"/>
          <w:bCs/>
          <w:i/>
          <w:iCs/>
          <w:sz w:val="20"/>
          <w:szCs w:val="20"/>
        </w:rPr>
        <w:t xml:space="preserve"> and/or TCI state</w:t>
      </w:r>
      <w:r>
        <w:rPr>
          <w:rFonts w:ascii="Times New Roman" w:hAnsi="Times New Roman"/>
          <w:bCs/>
          <w:i/>
          <w:iCs/>
          <w:sz w:val="20"/>
          <w:szCs w:val="20"/>
        </w:rPr>
        <w:t xml:space="preserve"> pool.</w:t>
      </w:r>
    </w:p>
    <w:p>
      <w:pPr>
        <w:pStyle w:val="3"/>
        <w:spacing w:before="240" w:after="180" w:afterLines="50" w:line="240" w:lineRule="auto"/>
        <w:rPr>
          <w:rFonts w:eastAsia="宋体"/>
          <w:szCs w:val="24"/>
        </w:rPr>
      </w:pPr>
      <w:r>
        <w:rPr>
          <w:rFonts w:hint="eastAsia" w:eastAsia="宋体"/>
          <w:szCs w:val="24"/>
        </w:rPr>
        <w:t>2.4</w:t>
      </w:r>
      <w:r>
        <w:rPr>
          <w:rFonts w:hint="eastAsia" w:eastAsia="宋体"/>
          <w:szCs w:val="24"/>
        </w:rPr>
        <w:tab/>
      </w:r>
      <w:r>
        <w:rPr>
          <w:rFonts w:hint="eastAsia" w:eastAsia="宋体"/>
          <w:szCs w:val="24"/>
        </w:rPr>
        <w:t>Beam indication</w:t>
      </w:r>
    </w:p>
    <w:p>
      <w:pPr>
        <w:pStyle w:val="4"/>
        <w:spacing w:before="240" w:after="180" w:afterLines="50" w:line="240" w:lineRule="auto"/>
        <w:rPr>
          <w:sz w:val="21"/>
          <w:szCs w:val="21"/>
        </w:rPr>
      </w:pPr>
      <w:r>
        <w:rPr>
          <w:rFonts w:hint="eastAsia"/>
          <w:sz w:val="21"/>
          <w:szCs w:val="21"/>
        </w:rPr>
        <w:t>2.4.1</w:t>
      </w:r>
      <w:r>
        <w:rPr>
          <w:rFonts w:hint="eastAsia"/>
          <w:sz w:val="21"/>
          <w:szCs w:val="21"/>
        </w:rPr>
        <w:tab/>
      </w:r>
      <w:r>
        <w:rPr>
          <w:rFonts w:hint="eastAsia"/>
          <w:sz w:val="21"/>
          <w:szCs w:val="21"/>
        </w:rPr>
        <w:t>TCI state framework</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According to the RAN1#110bis-e meeting discussion, RAN1 suggested that the following three alternatives on TCI state framework can be considered for Rel-18 LTM:</w:t>
      </w:r>
    </w:p>
    <w:tbl>
      <w:tblPr>
        <w:tblStyle w:val="28"/>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6" w:type="dxa"/>
          </w:tcPr>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eastAsia="Batang"/>
                <w:b/>
                <w:sz w:val="20"/>
                <w:szCs w:val="24"/>
                <w:highlight w:val="none"/>
                <w:u w:val="single"/>
                <w:lang w:val="en-GB" w:eastAsia="en-US"/>
              </w:rPr>
            </w:pPr>
            <w:r>
              <w:rPr>
                <w:rFonts w:ascii="Times New Roman" w:hAnsi="Times New Roman" w:eastAsia="Batang"/>
                <w:b/>
                <w:sz w:val="20"/>
                <w:szCs w:val="24"/>
                <w:highlight w:val="none"/>
                <w:u w:val="single"/>
                <w:lang w:val="en-GB" w:eastAsia="en-US"/>
              </w:rPr>
              <w:t>Agreement</w:t>
            </w:r>
          </w:p>
          <w:p>
            <w:pPr>
              <w:pStyle w:val="100"/>
              <w:snapToGrid w:val="0"/>
              <w:spacing w:after="0"/>
              <w:ind w:firstLine="0" w:firstLineChars="0"/>
              <w:jc w:val="both"/>
              <w:rPr>
                <w:rFonts w:ascii="Times New Roman" w:hAnsi="Times New Roman"/>
                <w:sz w:val="20"/>
                <w:szCs w:val="20"/>
              </w:rPr>
            </w:pPr>
            <w:r>
              <w:rPr>
                <w:rFonts w:ascii="Times New Roman" w:hAnsi="Times New Roman"/>
                <w:sz w:val="20"/>
                <w:szCs w:val="20"/>
              </w:rPr>
              <w:t xml:space="preserve">RAN1 to further study if the beam indication of candidate cell(s) L1/L2 mobility should be designed for a specific TCI framework below, and their potential RAN1 spec impact. </w:t>
            </w:r>
          </w:p>
          <w:p>
            <w:pPr>
              <w:pStyle w:val="100"/>
              <w:numPr>
                <w:ilvl w:val="0"/>
                <w:numId w:val="10"/>
              </w:numPr>
              <w:snapToGrid w:val="0"/>
              <w:spacing w:after="100" w:afterAutospacing="1"/>
              <w:ind w:firstLineChars="0"/>
              <w:jc w:val="both"/>
              <w:rPr>
                <w:rFonts w:ascii="Times New Roman" w:hAnsi="Times New Roman"/>
                <w:sz w:val="20"/>
                <w:szCs w:val="20"/>
              </w:rPr>
            </w:pPr>
            <w:r>
              <w:rPr>
                <w:rFonts w:ascii="Times New Roman" w:hAnsi="Times New Roman"/>
                <w:b/>
                <w:bCs/>
                <w:sz w:val="20"/>
                <w:szCs w:val="20"/>
              </w:rPr>
              <w:t>Option A:</w:t>
            </w:r>
            <w:r>
              <w:rPr>
                <w:rFonts w:ascii="Times New Roman" w:hAnsi="Times New Roman"/>
                <w:sz w:val="20"/>
                <w:szCs w:val="20"/>
              </w:rPr>
              <w:t> Beam indication for Rel-18 L1/L2 mobility is designed based on Rel-17 TCI framework mechanism</w:t>
            </w:r>
          </w:p>
          <w:p>
            <w:pPr>
              <w:pStyle w:val="100"/>
              <w:numPr>
                <w:ilvl w:val="0"/>
                <w:numId w:val="10"/>
              </w:numPr>
              <w:snapToGrid w:val="0"/>
              <w:spacing w:after="100" w:afterAutospacing="1"/>
              <w:ind w:firstLineChars="0"/>
              <w:jc w:val="both"/>
              <w:rPr>
                <w:rFonts w:ascii="Times New Roman" w:hAnsi="Times New Roman"/>
                <w:sz w:val="20"/>
                <w:szCs w:val="20"/>
              </w:rPr>
            </w:pPr>
            <w:r>
              <w:rPr>
                <w:rFonts w:ascii="Times New Roman" w:hAnsi="Times New Roman"/>
                <w:b/>
                <w:bCs/>
                <w:sz w:val="20"/>
                <w:szCs w:val="20"/>
              </w:rPr>
              <w:t xml:space="preserve">Option B: </w:t>
            </w:r>
            <w:r>
              <w:rPr>
                <w:rFonts w:ascii="Times New Roman" w:hAnsi="Times New Roman"/>
                <w:sz w:val="20"/>
                <w:szCs w:val="20"/>
              </w:rPr>
              <w:t xml:space="preserve">Beam indication for Rel-18 L1/L2 mobility is designed based on Rel-15 TCI framework mechanism </w:t>
            </w:r>
          </w:p>
          <w:p>
            <w:pPr>
              <w:pStyle w:val="100"/>
              <w:numPr>
                <w:ilvl w:val="0"/>
                <w:numId w:val="10"/>
              </w:numPr>
              <w:snapToGrid w:val="0"/>
              <w:spacing w:after="180" w:afterLines="50"/>
              <w:ind w:firstLineChars="0"/>
              <w:jc w:val="both"/>
              <w:rPr>
                <w:rFonts w:ascii="Times New Roman" w:hAnsi="Times New Roman"/>
                <w:sz w:val="20"/>
                <w:szCs w:val="20"/>
              </w:rPr>
            </w:pPr>
            <w:r>
              <w:rPr>
                <w:rFonts w:ascii="Times New Roman" w:hAnsi="Times New Roman"/>
                <w:b/>
                <w:bCs/>
                <w:sz w:val="20"/>
                <w:szCs w:val="20"/>
              </w:rPr>
              <w:t xml:space="preserve">Option C: </w:t>
            </w:r>
            <w:r>
              <w:rPr>
                <w:rFonts w:ascii="Times New Roman" w:hAnsi="Times New Roman"/>
                <w:sz w:val="20"/>
                <w:szCs w:val="20"/>
              </w:rPr>
              <w:t xml:space="preserve">Beam indication for Rel-18 L1/L2 mobility is designed based on both Rel-15 and Rel-17 TCI framework mechanisms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RAN1#111 meeting, it was agreed that beam indication for Rel-18 LTM should be designed based on Rel-17 unified TCI state framework, as follows:</w:t>
      </w:r>
    </w:p>
    <w:tbl>
      <w:tblPr>
        <w:tblStyle w:val="28"/>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tcPr>
          <w:p>
            <w:pPr>
              <w:pStyle w:val="100"/>
              <w:keepNext w:val="0"/>
              <w:keepLines w:val="0"/>
              <w:pageBreakBefore w:val="0"/>
              <w:widowControl/>
              <w:numPr>
                <w:ilvl w:val="255"/>
                <w:numId w:val="0"/>
              </w:numPr>
              <w:kinsoku/>
              <w:wordWrap/>
              <w:overflowPunct/>
              <w:topLinePunct w:val="0"/>
              <w:autoSpaceDE/>
              <w:autoSpaceDN/>
              <w:bidi w:val="0"/>
              <w:adjustRightInd/>
              <w:snapToGrid w:val="0"/>
              <w:spacing w:before="120" w:after="181" w:afterLines="50"/>
              <w:ind w:firstLine="0" w:firstLineChars="0"/>
              <w:jc w:val="both"/>
              <w:textAlignment w:val="auto"/>
              <w:rPr>
                <w:rFonts w:ascii="Times New Roman" w:hAnsi="Times New Roman" w:eastAsia="Batang"/>
                <w:b/>
                <w:sz w:val="20"/>
                <w:szCs w:val="24"/>
                <w:highlight w:val="none"/>
                <w:u w:val="single"/>
                <w:lang w:val="en-GB" w:eastAsia="en-US"/>
              </w:rPr>
            </w:pPr>
            <w:r>
              <w:rPr>
                <w:rFonts w:ascii="Times New Roman" w:hAnsi="Times New Roman" w:eastAsia="Batang"/>
                <w:b/>
                <w:sz w:val="20"/>
                <w:szCs w:val="24"/>
                <w:highlight w:val="none"/>
                <w:u w:val="single"/>
                <w:lang w:val="en-GB" w:eastAsia="en-US"/>
              </w:rPr>
              <w:t>Agreement</w:t>
            </w:r>
          </w:p>
          <w:p>
            <w:pPr>
              <w:pStyle w:val="100"/>
              <w:numPr>
                <w:ilvl w:val="0"/>
                <w:numId w:val="11"/>
              </w:numPr>
              <w:snapToGrid w:val="0"/>
              <w:spacing w:after="0"/>
              <w:ind w:leftChars="0" w:firstLineChars="0"/>
              <w:jc w:val="both"/>
              <w:rPr>
                <w:rFonts w:ascii="Times New Roman" w:hAnsi="Times New Roman"/>
                <w:sz w:val="20"/>
                <w:szCs w:val="20"/>
                <w:lang w:eastAsia="en-US"/>
              </w:rPr>
            </w:pPr>
            <w:r>
              <w:rPr>
                <w:rFonts w:ascii="Times New Roman" w:hAnsi="Times New Roman"/>
                <w:sz w:val="20"/>
                <w:szCs w:val="20"/>
              </w:rPr>
              <w:t>The beam indication of candidate cell(s) for Rel-18 LTM should be designed based on the following:</w:t>
            </w:r>
          </w:p>
          <w:p>
            <w:pPr>
              <w:pStyle w:val="100"/>
              <w:numPr>
                <w:ilvl w:val="0"/>
                <w:numId w:val="12"/>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 xml:space="preserve">Beam indication for Rel-18 LTM is designed based on Rel-17 unified TCI framework, if both serving cell and candidate cell support Rel-17 unified TCI framework </w:t>
            </w:r>
          </w:p>
          <w:p>
            <w:pPr>
              <w:pStyle w:val="100"/>
              <w:numPr>
                <w:ilvl w:val="0"/>
                <w:numId w:val="12"/>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FFS: whether/how to design mechanism for Beam indication for Rel-18 LTM when at least one from serving cell and candidate cell supports only Rel-15 TCI framework.</w:t>
            </w:r>
          </w:p>
          <w:p>
            <w:pPr>
              <w:pStyle w:val="100"/>
              <w:numPr>
                <w:ilvl w:val="255"/>
                <w:numId w:val="0"/>
              </w:numPr>
              <w:snapToGrid w:val="0"/>
              <w:spacing w:after="180" w:afterLines="50"/>
              <w:ind w:left="440" w:leftChars="200"/>
              <w:jc w:val="both"/>
            </w:pPr>
            <w:r>
              <w:rPr>
                <w:rFonts w:ascii="Times New Roman" w:hAnsi="Times New Roman"/>
                <w:sz w:val="20"/>
                <w:szCs w:val="20"/>
                <w:lang w:eastAsia="en-US"/>
              </w:rPr>
              <w:t>Note: How and whether to indicate the new serving cell(s) and timing for beam indication are separately discussed</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TCI state for Rel-18 LTM, the following alternatives can be considered:</w:t>
      </w:r>
    </w:p>
    <w:p>
      <w:pPr>
        <w:numPr>
          <w:ilvl w:val="0"/>
          <w:numId w:val="13"/>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Alt-1: </w:t>
      </w:r>
      <w:r>
        <w:rPr>
          <w:rFonts w:hint="eastAsia" w:ascii="Times New Roman" w:hAnsi="Times New Roman"/>
          <w:sz w:val="20"/>
          <w:szCs w:val="20"/>
        </w:rPr>
        <w:t>J</w:t>
      </w:r>
      <w:r>
        <w:rPr>
          <w:rFonts w:ascii="Times New Roman" w:hAnsi="Times New Roman"/>
          <w:sz w:val="20"/>
          <w:szCs w:val="20"/>
        </w:rPr>
        <w:t>oint TCI state pool is configured for serving cell and candidate cell</w:t>
      </w:r>
    </w:p>
    <w:p>
      <w:pPr>
        <w:numPr>
          <w:ilvl w:val="0"/>
          <w:numId w:val="14"/>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Alt-1A: </w:t>
      </w:r>
      <w:r>
        <w:rPr>
          <w:rFonts w:hint="eastAsia" w:ascii="Times New Roman" w:hAnsi="Times New Roman"/>
          <w:sz w:val="20"/>
          <w:szCs w:val="20"/>
        </w:rPr>
        <w:t>J</w:t>
      </w:r>
      <w:r>
        <w:rPr>
          <w:rFonts w:ascii="Times New Roman" w:hAnsi="Times New Roman"/>
          <w:sz w:val="20"/>
          <w:szCs w:val="20"/>
        </w:rPr>
        <w:t>oint TCI state pool for serving cell and candidate cell is configured under serving cell (e.g., Rel-17 ICBM unified TCI framework)</w:t>
      </w:r>
      <w:r>
        <w:rPr>
          <w:rFonts w:hint="eastAsia" w:ascii="Times New Roman" w:hAnsi="Times New Roman"/>
          <w:sz w:val="20"/>
          <w:szCs w:val="20"/>
        </w:rPr>
        <w:t>, as shown in Figure 5.</w:t>
      </w:r>
    </w:p>
    <w:p>
      <w:pPr>
        <w:numPr>
          <w:ilvl w:val="0"/>
          <w:numId w:val="14"/>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Alt-1B: Joint TCI state pool for serving cell and candidate cell is </w:t>
      </w:r>
      <w:r>
        <w:rPr>
          <w:rFonts w:hint="eastAsia" w:ascii="Times New Roman" w:hAnsi="Times New Roman"/>
          <w:sz w:val="20"/>
          <w:szCs w:val="20"/>
        </w:rPr>
        <w:t>configured</w:t>
      </w:r>
      <w:r>
        <w:rPr>
          <w:rFonts w:ascii="Times New Roman" w:hAnsi="Times New Roman"/>
          <w:sz w:val="20"/>
          <w:szCs w:val="20"/>
        </w:rPr>
        <w:t xml:space="preserve"> outside serving cell and candidate cell</w:t>
      </w:r>
      <w:r>
        <w:rPr>
          <w:rFonts w:hint="eastAsia" w:ascii="Times New Roman" w:hAnsi="Times New Roman"/>
          <w:sz w:val="20"/>
          <w:szCs w:val="20"/>
        </w:rPr>
        <w:t>, as shown in Figure 6</w:t>
      </w:r>
      <w:r>
        <w:rPr>
          <w:rFonts w:ascii="Times New Roman" w:hAnsi="Times New Roman"/>
          <w:sz w:val="20"/>
          <w:szCs w:val="20"/>
        </w:rPr>
        <w:t>.</w:t>
      </w:r>
    </w:p>
    <w:p>
      <w:pPr>
        <w:numPr>
          <w:ilvl w:val="0"/>
          <w:numId w:val="13"/>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Alt-2: </w:t>
      </w:r>
      <w:r>
        <w:rPr>
          <w:rFonts w:hint="eastAsia" w:ascii="Times New Roman" w:hAnsi="Times New Roman"/>
          <w:sz w:val="20"/>
          <w:szCs w:val="20"/>
        </w:rPr>
        <w:t>I</w:t>
      </w:r>
      <w:r>
        <w:rPr>
          <w:rFonts w:ascii="Times New Roman" w:hAnsi="Times New Roman"/>
          <w:sz w:val="20"/>
          <w:szCs w:val="20"/>
        </w:rPr>
        <w:t>ndependent TCI state pool is configured for candidate cell</w:t>
      </w:r>
      <w:r>
        <w:rPr>
          <w:rFonts w:hint="eastAsia" w:ascii="Times New Roman" w:hAnsi="Times New Roman"/>
          <w:sz w:val="20"/>
          <w:szCs w:val="20"/>
        </w:rPr>
        <w:t xml:space="preserve"> and serving cell</w:t>
      </w:r>
    </w:p>
    <w:p>
      <w:pPr>
        <w:numPr>
          <w:ilvl w:val="0"/>
          <w:numId w:val="14"/>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Alt-2A: </w:t>
      </w:r>
      <w:r>
        <w:rPr>
          <w:rFonts w:hint="eastAsia" w:ascii="Times New Roman" w:hAnsi="Times New Roman"/>
          <w:sz w:val="20"/>
          <w:szCs w:val="20"/>
        </w:rPr>
        <w:t>Joint</w:t>
      </w:r>
      <w:r>
        <w:rPr>
          <w:rFonts w:ascii="Times New Roman" w:hAnsi="Times New Roman"/>
          <w:sz w:val="20"/>
          <w:szCs w:val="20"/>
        </w:rPr>
        <w:t xml:space="preserve"> TCI state pool is configured for all candidate cell, which is </w:t>
      </w:r>
      <w:r>
        <w:rPr>
          <w:rFonts w:hint="eastAsia" w:ascii="Times New Roman" w:hAnsi="Times New Roman"/>
          <w:sz w:val="20"/>
          <w:szCs w:val="20"/>
        </w:rPr>
        <w:t>independent of</w:t>
      </w:r>
      <w:r>
        <w:rPr>
          <w:rFonts w:ascii="Times New Roman" w:hAnsi="Times New Roman"/>
          <w:sz w:val="20"/>
          <w:szCs w:val="20"/>
        </w:rPr>
        <w:t xml:space="preserve"> that of serving cell</w:t>
      </w:r>
      <w:r>
        <w:rPr>
          <w:rFonts w:hint="eastAsia" w:ascii="Times New Roman" w:hAnsi="Times New Roman"/>
          <w:sz w:val="20"/>
          <w:szCs w:val="20"/>
        </w:rPr>
        <w:t>, as shown in Figure 7.</w:t>
      </w:r>
    </w:p>
    <w:p>
      <w:pPr>
        <w:numPr>
          <w:ilvl w:val="0"/>
          <w:numId w:val="14"/>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Alt-2B: Independent TCI state pool is configured for each cell</w:t>
      </w:r>
      <w:r>
        <w:rPr>
          <w:rFonts w:hint="eastAsia" w:ascii="Times New Roman" w:hAnsi="Times New Roman"/>
          <w:sz w:val="20"/>
          <w:szCs w:val="20"/>
        </w:rPr>
        <w:t xml:space="preserve"> including serving cell and candidate cell, as shown in Figure 8.</w: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sz w:val="20"/>
          <w:szCs w:val="20"/>
        </w:rPr>
        <w:object>
          <v:shape id="_x0000_i1029" o:spt="75" type="#_x0000_t75" style="height:171.5pt;width:468pt;" o:ole="t" filled="f" o:preferrelative="t" stroked="f" coordsize="21600,21600">
            <v:path/>
            <v:fill on="f" focussize="0,0"/>
            <v:stroke on="f" joinstyle="miter"/>
            <v:imagedata r:id="rId16" o:title=""/>
            <o:lock v:ext="edit" aspectratio="f"/>
            <w10:wrap type="none"/>
            <w10:anchorlock/>
          </v:shape>
          <o:OLEObject Type="Embed" ProgID="Visio.Drawing.15" ShapeID="_x0000_i1029" DrawAspect="Content" ObjectID="_1468075729" r:id="rId15">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b/>
          <w:bCs/>
          <w:sz w:val="20"/>
          <w:szCs w:val="20"/>
        </w:rPr>
        <w:t>Figure</w:t>
      </w:r>
      <w:r>
        <w:rPr>
          <w:rFonts w:ascii="Times New Roman" w:hAnsi="Times New Roman"/>
          <w:b/>
          <w:bCs/>
          <w:sz w:val="20"/>
          <w:szCs w:val="20"/>
        </w:rPr>
        <w:t xml:space="preserve"> 5. Joint TCI state pool for serving cell and candidate cell is configured under serving cell (Alt-1A)</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30" o:spt="75" type="#_x0000_t75" style="height:117.5pt;width:467.5pt;" o:ole="t" filled="f" o:preferrelative="t" stroked="f" coordsize="21600,21600">
            <v:path/>
            <v:fill on="f" focussize="0,0"/>
            <v:stroke on="f" joinstyle="miter"/>
            <v:imagedata r:id="rId18" o:title=""/>
            <o:lock v:ext="edit" aspectratio="f"/>
            <w10:wrap type="none"/>
            <w10:anchorlock/>
          </v:shape>
          <o:OLEObject Type="Embed" ProgID="Visio.Drawing.15" ShapeID="_x0000_i1030" DrawAspect="Content" ObjectID="_1468075730" r:id="rId17">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b/>
          <w:bCs/>
          <w:sz w:val="20"/>
          <w:szCs w:val="20"/>
        </w:rPr>
        <w:t>Figure 6.</w:t>
      </w:r>
      <w:r>
        <w:rPr>
          <w:rFonts w:hint="eastAsia" w:ascii="Times New Roman" w:hAnsi="Times New Roman"/>
          <w:sz w:val="20"/>
          <w:szCs w:val="20"/>
        </w:rPr>
        <w:t xml:space="preserve"> </w:t>
      </w:r>
      <w:r>
        <w:rPr>
          <w:rFonts w:ascii="Times New Roman" w:hAnsi="Times New Roman"/>
          <w:b/>
          <w:bCs/>
          <w:sz w:val="20"/>
          <w:szCs w:val="20"/>
        </w:rPr>
        <w:t>Joint TCI state pool for serving cell and candidate cell is configured outside serving cell and candidate cell (Alt-1B)</w:t>
      </w:r>
    </w:p>
    <w:p>
      <w:pPr>
        <w:snapToGrid w:val="0"/>
        <w:spacing w:before="180" w:beforeLines="50" w:after="180" w:afterLines="50" w:line="288" w:lineRule="auto"/>
        <w:jc w:val="center"/>
        <w:rPr>
          <w:rFonts w:ascii="Times New Roman" w:hAnsi="Times New Roman"/>
          <w:sz w:val="20"/>
          <w:szCs w:val="20"/>
        </w:rPr>
      </w:pP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31" o:spt="75" type="#_x0000_t75" style="height:160pt;width:467.5pt;" o:ole="t" filled="f" o:preferrelative="t" stroked="f" coordsize="21600,21600">
            <v:path/>
            <v:fill on="f" focussize="0,0"/>
            <v:stroke on="f" joinstyle="miter"/>
            <v:imagedata r:id="rId20" o:title=""/>
            <o:lock v:ext="edit" aspectratio="f"/>
            <w10:wrap type="none"/>
            <w10:anchorlock/>
          </v:shape>
          <o:OLEObject Type="Embed" ProgID="Visio.Drawing.15" ShapeID="_x0000_i1031" DrawAspect="Content" ObjectID="_1468075731" r:id="rId19">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hint="eastAsia" w:ascii="Times New Roman" w:hAnsi="Times New Roman"/>
          <w:b/>
          <w:bCs/>
          <w:sz w:val="20"/>
          <w:szCs w:val="20"/>
        </w:rPr>
        <w:t>Figure 7.</w:t>
      </w:r>
      <w:r>
        <w:rPr>
          <w:rFonts w:ascii="Times New Roman" w:hAnsi="Times New Roman"/>
          <w:b/>
          <w:bCs/>
          <w:sz w:val="20"/>
          <w:szCs w:val="20"/>
        </w:rPr>
        <w:t xml:space="preserve"> Joint TCI state pool is configured for all candidate cell, which is independent of that of serving cell (Alt-2A)</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32" o:spt="75" type="#_x0000_t75" style="height:207.5pt;width:467.5pt;" o:ole="t" filled="f" o:preferrelative="t" stroked="f" coordsize="21600,21600">
            <v:path/>
            <v:fill on="f" focussize="0,0"/>
            <v:stroke on="f" joinstyle="miter"/>
            <v:imagedata r:id="rId22" o:title=""/>
            <o:lock v:ext="edit" aspectratio="f"/>
            <w10:wrap type="none"/>
            <w10:anchorlock/>
          </v:shape>
          <o:OLEObject Type="Embed" ProgID="Visio.Drawing.15" ShapeID="_x0000_i1032" DrawAspect="Content" ObjectID="_1468075732" r:id="rId21">
            <o:LockedField>false</o:LockedField>
          </o:OLEObject>
        </w:object>
      </w:r>
    </w:p>
    <w:p>
      <w:pPr>
        <w:snapToGrid w:val="0"/>
        <w:spacing w:before="180" w:beforeLines="50" w:after="180" w:afterLines="50" w:line="288" w:lineRule="auto"/>
        <w:jc w:val="center"/>
        <w:rPr>
          <w:rFonts w:ascii="Times New Roman" w:hAnsi="Times New Roman"/>
          <w:b/>
          <w:bCs/>
          <w:sz w:val="20"/>
          <w:szCs w:val="20"/>
        </w:rPr>
      </w:pPr>
      <w:r>
        <w:rPr>
          <w:rFonts w:hint="eastAsia" w:ascii="Times New Roman" w:hAnsi="Times New Roman"/>
          <w:b/>
          <w:bCs/>
          <w:sz w:val="20"/>
          <w:szCs w:val="20"/>
        </w:rPr>
        <w:t>Figure 8.</w:t>
      </w:r>
      <w:r>
        <w:rPr>
          <w:rFonts w:hint="eastAsia" w:ascii="Times New Roman" w:hAnsi="Times New Roman"/>
          <w:sz w:val="20"/>
          <w:szCs w:val="20"/>
        </w:rPr>
        <w:t xml:space="preserve"> </w:t>
      </w:r>
      <w:r>
        <w:rPr>
          <w:rFonts w:ascii="Times New Roman" w:hAnsi="Times New Roman"/>
          <w:b/>
          <w:bCs/>
          <w:sz w:val="20"/>
          <w:szCs w:val="20"/>
        </w:rPr>
        <w:t>Independent TCI state pool is configured for each cell including serving cell and candidate cell (Alt-2B)</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Alt-1A corresponds to the configuration structure of Rel-17 ICBM TCI state and TCI state is linked with a specific PCI which is configured in the additional PCI list in </w:t>
      </w:r>
      <w:r>
        <w:rPr>
          <w:rFonts w:ascii="Times New Roman" w:hAnsi="Times New Roman"/>
          <w:i/>
          <w:iCs/>
          <w:sz w:val="20"/>
          <w:szCs w:val="20"/>
        </w:rPr>
        <w:t>ServingCellConfig</w:t>
      </w:r>
      <w:r>
        <w:rPr>
          <w:rFonts w:hint="eastAsia" w:ascii="Times New Roman" w:hAnsi="Times New Roman"/>
          <w:sz w:val="20"/>
          <w:szCs w:val="20"/>
        </w:rPr>
        <w:t>. If Rel-17 ICBM TCI state framework</w:t>
      </w:r>
      <w:r>
        <w:rPr>
          <w:rFonts w:hint="eastAsia" w:ascii="Times New Roman" w:hAnsi="Times New Roman"/>
          <w:sz w:val="20"/>
          <w:szCs w:val="20"/>
          <w:lang w:val="en-US" w:eastAsia="zh-CN"/>
        </w:rPr>
        <w:t xml:space="preserve"> is simply reused</w:t>
      </w:r>
      <w:r>
        <w:rPr>
          <w:rFonts w:hint="eastAsia" w:ascii="Times New Roman" w:hAnsi="Times New Roman"/>
          <w:sz w:val="20"/>
          <w:szCs w:val="20"/>
        </w:rPr>
        <w:t xml:space="preserve">, many TCI states for candidate cells are configured repeatedly, which </w:t>
      </w:r>
      <w:r>
        <w:rPr>
          <w:rFonts w:ascii="Times New Roman" w:hAnsi="Times New Roman"/>
          <w:sz w:val="20"/>
          <w:szCs w:val="20"/>
        </w:rPr>
        <w:t>may</w:t>
      </w:r>
      <w:r>
        <w:rPr>
          <w:rFonts w:hint="eastAsia" w:ascii="Times New Roman" w:hAnsi="Times New Roman"/>
          <w:sz w:val="20"/>
          <w:szCs w:val="20"/>
        </w:rPr>
        <w:t xml:space="preserve"> cause the </w:t>
      </w:r>
      <w:r>
        <w:rPr>
          <w:rFonts w:ascii="Times New Roman" w:hAnsi="Times New Roman"/>
          <w:sz w:val="20"/>
          <w:szCs w:val="20"/>
        </w:rPr>
        <w:t>complicate</w:t>
      </w:r>
      <w:r>
        <w:rPr>
          <w:rFonts w:hint="eastAsia" w:ascii="Times New Roman" w:hAnsi="Times New Roman"/>
          <w:sz w:val="20"/>
          <w:szCs w:val="20"/>
        </w:rPr>
        <w:t xml:space="preserve"> signaling structure and considerable signaling overhead. Besides, it also require</w:t>
      </w:r>
      <w:r>
        <w:rPr>
          <w:rFonts w:hint="eastAsia" w:ascii="Times New Roman" w:hAnsi="Times New Roman"/>
          <w:sz w:val="20"/>
          <w:szCs w:val="20"/>
          <w:lang w:val="en-US" w:eastAsia="zh-CN"/>
        </w:rPr>
        <w:t>s</w:t>
      </w:r>
      <w:r>
        <w:rPr>
          <w:rFonts w:hint="eastAsia" w:ascii="Times New Roman" w:hAnsi="Times New Roman"/>
          <w:sz w:val="20"/>
          <w:szCs w:val="20"/>
        </w:rPr>
        <w:t xml:space="preserve"> to introduce an additional signaling to support interaction among serving DU, CU and candidate DU, that is, serving DU needs to be informed TCI states of candidate cell</w:t>
      </w:r>
      <w:r>
        <w:rPr>
          <w:rFonts w:hint="eastAsia" w:ascii="Times New Roman" w:hAnsi="Times New Roman"/>
          <w:sz w:val="20"/>
          <w:szCs w:val="20"/>
          <w:lang w:val="en-US" w:eastAsia="zh-CN"/>
        </w:rPr>
        <w:t>(s)</w:t>
      </w:r>
      <w:r>
        <w:rPr>
          <w:rFonts w:hint="eastAsia" w:ascii="Times New Roman" w:hAnsi="Times New Roman"/>
          <w:sz w:val="20"/>
          <w:szCs w:val="20"/>
        </w:rPr>
        <w:t xml:space="preserve"> by CU. Note that whether such functionality can be supported needs </w:t>
      </w:r>
      <w:r>
        <w:rPr>
          <w:rFonts w:hint="eastAsia" w:ascii="Times New Roman" w:hAnsi="Times New Roman"/>
          <w:sz w:val="20"/>
          <w:szCs w:val="20"/>
          <w:lang w:val="en-US" w:eastAsia="zh-CN"/>
        </w:rPr>
        <w:t xml:space="preserve">conclusion from </w:t>
      </w:r>
      <w:r>
        <w:rPr>
          <w:rFonts w:hint="eastAsia" w:ascii="Times New Roman" w:hAnsi="Times New Roman"/>
          <w:sz w:val="20"/>
          <w:szCs w:val="20"/>
        </w:rPr>
        <w:t xml:space="preserve">RAN2/3.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Alt-1B, it is similar to signaling structure of measurement configuration such as Option 2, which is beneficial to design an independent TCI state configuration for all cells including serving cell and candidate cell(s) and such configuration is decoupled with TCI state configuration of serving cell and configured outside </w:t>
      </w:r>
      <w:r>
        <w:rPr>
          <w:rFonts w:ascii="Times New Roman" w:hAnsi="Times New Roman"/>
          <w:i/>
          <w:iCs/>
          <w:sz w:val="20"/>
          <w:szCs w:val="20"/>
        </w:rPr>
        <w:t>ServingCellConfig</w:t>
      </w:r>
      <w:r>
        <w:rPr>
          <w:rFonts w:hint="eastAsia" w:ascii="Times New Roman" w:hAnsi="Times New Roman"/>
          <w:sz w:val="20"/>
          <w:szCs w:val="20"/>
        </w:rPr>
        <w:t xml:space="preserve"> and </w:t>
      </w:r>
      <w:r>
        <w:rPr>
          <w:rFonts w:ascii="Times New Roman" w:hAnsi="Times New Roman"/>
          <w:i/>
          <w:iCs/>
          <w:sz w:val="20"/>
          <w:szCs w:val="20"/>
        </w:rPr>
        <w:t>CellGroupConfig</w:t>
      </w:r>
      <w:r>
        <w:rPr>
          <w:rFonts w:hint="eastAsia" w:ascii="Times New Roman" w:hAnsi="Times New Roman"/>
          <w:sz w:val="20"/>
          <w:szCs w:val="20"/>
        </w:rPr>
        <w:t>. Besides, it can provide a lighter and more flexible RRC configuration structure to avoid duplicate configuration of TCI state for candidate cells in consecutive cell switch scenario.</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Alt-2A and Alt-2B, although it is decoupled with that of serving cell, it is not easy to update related TCI state configuration for all candidate cells especially for consecutive cell switch scenario since such configuration requires the UE to independently update the TCI state information of the serving cell and candidate cell. Besides, for Alt-2B, if UE wants to get TCI state information corresponding to a cell, it needs first to parse all information of corresponding cell including TCI state configuration, which visibly increases the complexity of UE side and introduces additional delay.</w:t>
      </w:r>
    </w:p>
    <w:p>
      <w:pPr>
        <w:snapToGrid w:val="0"/>
        <w:spacing w:before="180" w:beforeLines="50" w:after="180" w:afterLines="50" w:line="288" w:lineRule="auto"/>
        <w:jc w:val="both"/>
        <w:rPr>
          <w:rFonts w:ascii="Times New Roman" w:hAnsi="Times New Roman"/>
          <w:sz w:val="20"/>
          <w:szCs w:val="20"/>
          <w:highlight w:val="magenta"/>
        </w:rPr>
      </w:pPr>
      <w:r>
        <w:rPr>
          <w:rFonts w:ascii="Times New Roman" w:hAnsi="Times New Roman"/>
          <w:sz w:val="20"/>
          <w:szCs w:val="20"/>
        </w:rPr>
        <w:t xml:space="preserve">Based on the above analysis, </w:t>
      </w:r>
      <w:r>
        <w:rPr>
          <w:rFonts w:hint="eastAsia" w:ascii="Times New Roman" w:hAnsi="Times New Roman"/>
          <w:sz w:val="20"/>
          <w:szCs w:val="20"/>
        </w:rPr>
        <w:t>we believe that Alt-1B</w:t>
      </w:r>
      <w:r>
        <w:rPr>
          <w:rFonts w:ascii="Times New Roman" w:hAnsi="Times New Roman"/>
          <w:sz w:val="20"/>
          <w:szCs w:val="20"/>
        </w:rPr>
        <w:t xml:space="preserve"> </w:t>
      </w:r>
      <w:r>
        <w:rPr>
          <w:rFonts w:hint="eastAsia" w:ascii="Times New Roman" w:hAnsi="Times New Roman"/>
          <w:sz w:val="20"/>
          <w:szCs w:val="20"/>
        </w:rPr>
        <w:t>is a good choice to</w:t>
      </w:r>
      <w:r>
        <w:rPr>
          <w:rFonts w:ascii="Times New Roman" w:hAnsi="Times New Roman"/>
          <w:sz w:val="20"/>
          <w:szCs w:val="20"/>
        </w:rPr>
        <w:t xml:space="preserve"> provide an independent and slim </w:t>
      </w:r>
      <w:r>
        <w:rPr>
          <w:rFonts w:hint="eastAsia" w:ascii="Times New Roman" w:hAnsi="Times New Roman"/>
          <w:sz w:val="20"/>
          <w:szCs w:val="20"/>
        </w:rPr>
        <w:t xml:space="preserve">and flexible </w:t>
      </w:r>
      <w:r>
        <w:rPr>
          <w:rFonts w:ascii="Times New Roman" w:hAnsi="Times New Roman"/>
          <w:sz w:val="20"/>
          <w:szCs w:val="20"/>
        </w:rPr>
        <w:t xml:space="preserve">configuration architecture compared to </w:t>
      </w:r>
      <w:r>
        <w:rPr>
          <w:rFonts w:hint="eastAsia" w:ascii="Times New Roman" w:hAnsi="Times New Roman"/>
          <w:sz w:val="20"/>
          <w:szCs w:val="20"/>
        </w:rPr>
        <w:t xml:space="preserve">other candidate alternatives and </w:t>
      </w:r>
      <w:r>
        <w:rPr>
          <w:rFonts w:hint="eastAsia" w:ascii="Times New Roman" w:hAnsi="Times New Roman"/>
          <w:sz w:val="20"/>
          <w:szCs w:val="20"/>
          <w:lang w:val="en-US" w:eastAsia="zh-CN"/>
        </w:rPr>
        <w:t xml:space="preserve">to </w:t>
      </w:r>
      <w:r>
        <w:rPr>
          <w:rFonts w:hint="eastAsia" w:ascii="Times New Roman" w:hAnsi="Times New Roman"/>
          <w:sz w:val="20"/>
          <w:szCs w:val="20"/>
        </w:rPr>
        <w:t>keep the same configuration structure with measurement configuration.</w:t>
      </w:r>
    </w:p>
    <w:p>
      <w:pPr>
        <w:snapToGrid w:val="0"/>
        <w:spacing w:before="180" w:beforeLines="50" w:after="0" w:line="288" w:lineRule="auto"/>
        <w:jc w:val="both"/>
        <w:rPr>
          <w:rStyle w:val="35"/>
          <w:i/>
          <w:iCs/>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 xml:space="preserve">: </w:t>
      </w:r>
      <w:r>
        <w:rPr>
          <w:rFonts w:hint="eastAsia" w:ascii="Times New Roman" w:hAnsi="Times New Roman"/>
          <w:i/>
          <w:sz w:val="20"/>
          <w:szCs w:val="20"/>
        </w:rPr>
        <w:t>Alt-1B (</w:t>
      </w:r>
      <w:r>
        <w:rPr>
          <w:rFonts w:ascii="Times New Roman" w:hAnsi="Times New Roman"/>
          <w:i/>
          <w:sz w:val="20"/>
          <w:szCs w:val="20"/>
        </w:rPr>
        <w:t>j</w:t>
      </w:r>
      <w:r>
        <w:rPr>
          <w:rFonts w:hint="eastAsia" w:ascii="Times New Roman" w:hAnsi="Times New Roman"/>
          <w:i/>
          <w:sz w:val="20"/>
          <w:szCs w:val="20"/>
        </w:rPr>
        <w:t>oint TCI state pool for serving cell and candidate cell is configured outside serving cell and candidate cell) should be supported for Rel-18 LTM considering that it can provide an independent and slim and flexible configuration architecture in consecutive cell switch scenario and also have unified design with measurement configuration</w:t>
      </w:r>
      <w:r>
        <w:rPr>
          <w:rFonts w:ascii="Times New Roman" w:hAnsi="Times New Roman"/>
          <w:bCs/>
          <w:i/>
          <w:iCs/>
          <w:sz w:val="20"/>
          <w:szCs w:val="20"/>
        </w:rPr>
        <w:t xml:space="preserve">. </w:t>
      </w:r>
    </w:p>
    <w:p>
      <w:pPr>
        <w:pStyle w:val="4"/>
        <w:spacing w:before="240" w:after="180" w:afterLines="50" w:line="240" w:lineRule="auto"/>
        <w:rPr>
          <w:sz w:val="21"/>
          <w:szCs w:val="21"/>
        </w:rPr>
      </w:pPr>
      <w:r>
        <w:rPr>
          <w:rFonts w:hint="eastAsia"/>
          <w:sz w:val="21"/>
          <w:szCs w:val="21"/>
        </w:rPr>
        <w:t>2.4.2</w:t>
      </w:r>
      <w:r>
        <w:rPr>
          <w:rFonts w:hint="eastAsia"/>
          <w:sz w:val="21"/>
          <w:szCs w:val="21"/>
        </w:rPr>
        <w:tab/>
      </w:r>
      <w:r>
        <w:rPr>
          <w:rFonts w:hint="eastAsia"/>
          <w:sz w:val="21"/>
          <w:szCs w:val="21"/>
        </w:rPr>
        <w:t>Timing of TCI indication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RAN1#110bis-e meeting, the following agreement on timing of beam indication has been achieved:</w:t>
      </w:r>
    </w:p>
    <w:tbl>
      <w:tblPr>
        <w:tblStyle w:val="28"/>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1" w:type="dxa"/>
          </w:tcPr>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eastAsia="Batang"/>
                <w:b/>
                <w:sz w:val="20"/>
                <w:szCs w:val="24"/>
                <w:highlight w:val="none"/>
                <w:u w:val="single"/>
                <w:lang w:val="en-GB" w:eastAsia="en-US"/>
              </w:rPr>
            </w:pPr>
            <w:r>
              <w:rPr>
                <w:rFonts w:ascii="Times New Roman" w:hAnsi="Times New Roman" w:eastAsia="Batang"/>
                <w:b/>
                <w:sz w:val="20"/>
                <w:szCs w:val="24"/>
                <w:highlight w:val="none"/>
                <w:u w:val="single"/>
                <w:lang w:val="en-GB" w:eastAsia="en-US"/>
              </w:rPr>
              <w:t>Agreement</w:t>
            </w:r>
          </w:p>
          <w:p>
            <w:pPr>
              <w:numPr>
                <w:ilvl w:val="0"/>
                <w:numId w:val="15"/>
              </w:numPr>
              <w:snapToGrid w:val="0"/>
              <w:spacing w:after="0" w:line="288" w:lineRule="auto"/>
              <w:jc w:val="both"/>
              <w:rPr>
                <w:rFonts w:ascii="Times New Roman" w:hAnsi="Times New Roman"/>
                <w:sz w:val="20"/>
                <w:szCs w:val="20"/>
              </w:rPr>
            </w:pPr>
            <w:r>
              <w:rPr>
                <w:rFonts w:ascii="Times New Roman" w:hAnsi="Times New Roman"/>
                <w:sz w:val="20"/>
                <w:szCs w:val="20"/>
              </w:rPr>
              <w:t>From RAN1 perspective, the following scenarios can be considered for Rel-18 L1/L2 mobility for beam indication timing. This will be updated depending on further RAN1 assessment and RAN2 decision on the time chart</w:t>
            </w:r>
          </w:p>
          <w:p>
            <w:pPr>
              <w:numPr>
                <w:ilvl w:val="1"/>
                <w:numId w:val="15"/>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1: Beam indication before cell switch command</w:t>
            </w:r>
          </w:p>
          <w:p>
            <w:pPr>
              <w:numPr>
                <w:ilvl w:val="1"/>
                <w:numId w:val="15"/>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2: Beam indication together with cell switch command</w:t>
            </w:r>
          </w:p>
          <w:p>
            <w:pPr>
              <w:numPr>
                <w:ilvl w:val="1"/>
                <w:numId w:val="15"/>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3: Beam indication after cell switch command</w:t>
            </w:r>
          </w:p>
          <w:p>
            <w:pPr>
              <w:numPr>
                <w:ilvl w:val="0"/>
                <w:numId w:val="15"/>
              </w:numPr>
              <w:snapToGrid w:val="0"/>
              <w:spacing w:after="180" w:afterLines="50" w:line="288" w:lineRule="auto"/>
              <w:jc w:val="both"/>
            </w:pPr>
            <w:r>
              <w:rPr>
                <w:rFonts w:ascii="Times New Roman" w:hAnsi="Times New Roman"/>
                <w:sz w:val="20"/>
                <w:szCs w:val="20"/>
              </w:rPr>
              <w:t>Interested companies are encouraged to further study the validity of the scenarios and the potential spec impact.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RAN1#111 meeting, it was agreed that scenario 2 (beam indication together with cell switch command) is supported for Rel-18 LTM, as follows:</w:t>
      </w:r>
    </w:p>
    <w:tbl>
      <w:tblPr>
        <w:tblStyle w:val="28"/>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tcPr>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eastAsia="Batang"/>
                <w:b/>
                <w:sz w:val="20"/>
                <w:szCs w:val="24"/>
                <w:highlight w:val="none"/>
                <w:u w:val="single"/>
                <w:lang w:val="en-GB" w:eastAsia="en-US"/>
              </w:rPr>
            </w:pPr>
            <w:r>
              <w:rPr>
                <w:rFonts w:ascii="Times New Roman" w:hAnsi="Times New Roman" w:eastAsia="Batang"/>
                <w:b/>
                <w:sz w:val="20"/>
                <w:szCs w:val="24"/>
                <w:highlight w:val="none"/>
                <w:u w:val="single"/>
                <w:lang w:val="en-GB" w:eastAsia="en-US"/>
              </w:rPr>
              <w:t>Agreement</w:t>
            </w:r>
          </w:p>
          <w:p>
            <w:pPr>
              <w:pStyle w:val="100"/>
              <w:numPr>
                <w:ilvl w:val="0"/>
                <w:numId w:val="16"/>
              </w:numPr>
              <w:snapToGrid w:val="0"/>
              <w:spacing w:after="0"/>
              <w:ind w:left="420" w:leftChars="0" w:hanging="420" w:firstLineChars="0"/>
              <w:jc w:val="both"/>
              <w:rPr>
                <w:rFonts w:ascii="Times New Roman" w:hAnsi="Times New Roman"/>
                <w:sz w:val="20"/>
                <w:szCs w:val="20"/>
                <w:lang w:eastAsia="en-US"/>
              </w:rPr>
            </w:pPr>
            <w:r>
              <w:rPr>
                <w:rFonts w:ascii="Times New Roman" w:hAnsi="Times New Roman"/>
                <w:sz w:val="20"/>
                <w:szCs w:val="20"/>
              </w:rPr>
              <w:t>For beam indication timing for Rel-18 LTM,</w:t>
            </w:r>
          </w:p>
          <w:p>
            <w:pPr>
              <w:pStyle w:val="100"/>
              <w:numPr>
                <w:ilvl w:val="0"/>
                <w:numId w:val="12"/>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Support Scenario 2: Beam indication together with cell switch command</w:t>
            </w:r>
          </w:p>
          <w:p>
            <w:pPr>
              <w:pStyle w:val="100"/>
              <w:numPr>
                <w:ilvl w:val="1"/>
                <w:numId w:val="12"/>
              </w:numPr>
              <w:snapToGrid w:val="0"/>
              <w:spacing w:after="0"/>
              <w:ind w:left="1260"/>
              <w:jc w:val="both"/>
              <w:rPr>
                <w:rFonts w:ascii="Times New Roman" w:hAnsi="Times New Roman"/>
                <w:sz w:val="20"/>
                <w:szCs w:val="20"/>
                <w:lang w:eastAsia="en-US"/>
              </w:rPr>
            </w:pPr>
            <w:r>
              <w:rPr>
                <w:rFonts w:ascii="Times New Roman" w:hAnsi="Times New Roman"/>
                <w:sz w:val="20"/>
                <w:szCs w:val="20"/>
                <w:lang w:eastAsia="en-US"/>
              </w:rPr>
              <w:t xml:space="preserve">For Rel-17 unified TCI framework, </w:t>
            </w:r>
          </w:p>
          <w:p>
            <w:pPr>
              <w:pStyle w:val="100"/>
              <w:numPr>
                <w:ilvl w:val="0"/>
                <w:numId w:val="17"/>
              </w:numPr>
              <w:snapToGrid w:val="0"/>
              <w:spacing w:after="0"/>
              <w:ind w:left="1680" w:firstLineChars="0"/>
              <w:jc w:val="both"/>
              <w:rPr>
                <w:rFonts w:ascii="Times New Roman" w:hAnsi="Times New Roman"/>
                <w:sz w:val="20"/>
                <w:szCs w:val="20"/>
                <w:lang w:eastAsia="en-US"/>
              </w:rPr>
            </w:pPr>
            <w:r>
              <w:rPr>
                <w:rFonts w:hint="eastAsia" w:ascii="Times New Roman" w:hAnsi="Times New Roman"/>
                <w:sz w:val="20"/>
                <w:szCs w:val="20"/>
                <w:lang w:eastAsia="en-US"/>
              </w:rPr>
              <w:t>B</w:t>
            </w:r>
            <w:r>
              <w:rPr>
                <w:rFonts w:ascii="Times New Roman" w:hAnsi="Times New Roman"/>
                <w:sz w:val="20"/>
                <w:szCs w:val="20"/>
                <w:lang w:eastAsia="en-US"/>
              </w:rPr>
              <w:t>eam indication indicates TCI state for each target serving cell</w:t>
            </w:r>
          </w:p>
          <w:p>
            <w:pPr>
              <w:pStyle w:val="100"/>
              <w:numPr>
                <w:ilvl w:val="0"/>
                <w:numId w:val="12"/>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FFS: Scenario 1: Beam indication before cell switch command</w:t>
            </w:r>
          </w:p>
          <w:p>
            <w:pPr>
              <w:pStyle w:val="100"/>
              <w:numPr>
                <w:ilvl w:val="0"/>
                <w:numId w:val="12"/>
              </w:numPr>
              <w:snapToGrid w:val="0"/>
              <w:spacing w:after="0"/>
              <w:ind w:left="840" w:firstLineChars="0"/>
              <w:jc w:val="both"/>
              <w:rPr>
                <w:rFonts w:ascii="Times New Roman" w:hAnsi="Times New Roman"/>
                <w:sz w:val="20"/>
                <w:szCs w:val="20"/>
                <w:lang w:eastAsia="en-US"/>
              </w:rPr>
            </w:pPr>
            <w:r>
              <w:rPr>
                <w:rFonts w:hint="eastAsia" w:ascii="Times New Roman" w:hAnsi="Times New Roman"/>
                <w:sz w:val="20"/>
                <w:szCs w:val="20"/>
                <w:lang w:eastAsia="en-US"/>
              </w:rPr>
              <w:t>F</w:t>
            </w:r>
            <w:r>
              <w:rPr>
                <w:rFonts w:ascii="Times New Roman" w:hAnsi="Times New Roman"/>
                <w:sz w:val="20"/>
                <w:szCs w:val="20"/>
                <w:lang w:eastAsia="en-US"/>
              </w:rPr>
              <w:t>FS: Scenario 3: Beam indication after cell switch command</w:t>
            </w:r>
          </w:p>
          <w:p>
            <w:pPr>
              <w:pStyle w:val="100"/>
              <w:numPr>
                <w:ilvl w:val="255"/>
                <w:numId w:val="0"/>
              </w:numPr>
              <w:snapToGrid w:val="0"/>
              <w:spacing w:after="180" w:afterLines="50"/>
              <w:ind w:left="440" w:leftChars="200"/>
              <w:jc w:val="both"/>
            </w:pPr>
            <w:r>
              <w:rPr>
                <w:rFonts w:hint="eastAsia" w:ascii="Times New Roman" w:hAnsi="Times New Roman"/>
                <w:sz w:val="20"/>
                <w:szCs w:val="20"/>
                <w:lang w:eastAsia="en-US"/>
              </w:rPr>
              <w:t>F</w:t>
            </w:r>
            <w:r>
              <w:rPr>
                <w:rFonts w:ascii="Times New Roman" w:hAnsi="Times New Roman"/>
                <w:sz w:val="20"/>
                <w:szCs w:val="20"/>
                <w:lang w:eastAsia="en-US"/>
              </w:rPr>
              <w:t>FS: Activation of TCI state(s) of target serving and/or candidate cell(s).</w:t>
            </w:r>
          </w:p>
        </w:tc>
      </w:tr>
    </w:tbl>
    <w:p>
      <w:pPr>
        <w:keepNext w:val="0"/>
        <w:keepLines w:val="0"/>
        <w:pageBreakBefore w:val="0"/>
        <w:widowControl/>
        <w:kinsoku/>
        <w:wordWrap/>
        <w:overflowPunct/>
        <w:topLinePunct w:val="0"/>
        <w:autoSpaceDE/>
        <w:autoSpaceDN/>
        <w:bidi w:val="0"/>
        <w:adjustRightInd/>
        <w:snapToGrid w:val="0"/>
        <w:spacing w:before="240" w:after="180" w:afterLines="50" w:line="288" w:lineRule="auto"/>
        <w:jc w:val="both"/>
        <w:textAlignment w:val="auto"/>
        <w:rPr>
          <w:rFonts w:ascii="Times New Roman" w:hAnsi="Times New Roman"/>
          <w:sz w:val="20"/>
          <w:szCs w:val="20"/>
        </w:rPr>
      </w:pPr>
      <w:r>
        <w:rPr>
          <w:rFonts w:hint="eastAsia" w:ascii="Times New Roman" w:hAnsi="Times New Roman"/>
          <w:sz w:val="20"/>
          <w:szCs w:val="20"/>
        </w:rPr>
        <w:t xml:space="preserve">For scenario1, from our point of view, at least it can be supported for intra-DU case, while for inter-DU case, some enhancements need to be considered, e.g., introduce coordination among target DU, CU, source DU, which </w:t>
      </w:r>
      <w:r>
        <w:rPr>
          <w:rFonts w:ascii="Times New Roman" w:hAnsi="Times New Roman"/>
          <w:sz w:val="20"/>
          <w:szCs w:val="20"/>
        </w:rPr>
        <w:t>is</w:t>
      </w:r>
      <w:r>
        <w:rPr>
          <w:rFonts w:hint="eastAsia" w:ascii="Times New Roman" w:hAnsi="Times New Roman"/>
          <w:sz w:val="20"/>
          <w:szCs w:val="20"/>
        </w:rPr>
        <w:t xml:space="preserve"> up to the progress of RAN3. In addition, we think that if this scenario is supported in Rel-18 LTM, it </w:t>
      </w:r>
      <w:r>
        <w:rPr>
          <w:rFonts w:ascii="Times New Roman" w:hAnsi="Times New Roman"/>
          <w:sz w:val="20"/>
          <w:szCs w:val="20"/>
        </w:rPr>
        <w:t>may</w:t>
      </w:r>
      <w:r>
        <w:rPr>
          <w:rFonts w:hint="eastAsia" w:ascii="Times New Roman" w:hAnsi="Times New Roman"/>
          <w:sz w:val="20"/>
          <w:szCs w:val="20"/>
        </w:rPr>
        <w:t xml:space="preserve"> be beneficial to designing a unified architecture for different application uses case of Rel-18 LTM.</w:t>
      </w:r>
    </w:p>
    <w:p>
      <w:pPr>
        <w:snapToGrid w:val="0"/>
        <w:spacing w:before="180" w:beforeLines="50" w:after="180" w:afterLines="50" w:line="288" w:lineRule="auto"/>
        <w:jc w:val="both"/>
      </w:pPr>
      <w:r>
        <w:rPr>
          <w:rFonts w:hint="eastAsia" w:ascii="Times New Roman" w:hAnsi="Times New Roman"/>
          <w:sz w:val="20"/>
          <w:szCs w:val="20"/>
        </w:rPr>
        <w:t>For scenario 3, it can be applied for the case that beam for target cell needs to be updated or more refined beam is required for target cell or the previous indicated beam cannot be applied, which actually belongs to a part of legacy handover.</w:t>
      </w:r>
      <w:r>
        <w:t xml:space="preserve"> </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 xml:space="preserve">: </w:t>
      </w:r>
      <w:r>
        <w:rPr>
          <w:rFonts w:ascii="Times New Roman" w:hAnsi="Times New Roman"/>
          <w:i/>
          <w:sz w:val="20"/>
          <w:szCs w:val="20"/>
        </w:rPr>
        <w:t xml:space="preserve">From </w:t>
      </w:r>
      <w:r>
        <w:rPr>
          <w:rFonts w:hint="eastAsia" w:ascii="Times New Roman" w:hAnsi="Times New Roman"/>
          <w:i/>
          <w:sz w:val="20"/>
          <w:szCs w:val="20"/>
        </w:rPr>
        <w:t>unified design architecture to support different uses cases</w:t>
      </w:r>
      <w:r>
        <w:rPr>
          <w:rFonts w:ascii="Times New Roman" w:hAnsi="Times New Roman"/>
          <w:i/>
          <w:sz w:val="20"/>
          <w:szCs w:val="20"/>
        </w:rPr>
        <w:t xml:space="preserve"> point of view, </w:t>
      </w:r>
      <w:r>
        <w:rPr>
          <w:rFonts w:hint="eastAsia" w:ascii="Times New Roman" w:hAnsi="Times New Roman"/>
          <w:i/>
          <w:sz w:val="20"/>
          <w:szCs w:val="20"/>
        </w:rPr>
        <w:t xml:space="preserve">it is unnecessary to support </w:t>
      </w:r>
      <w:r>
        <w:rPr>
          <w:rFonts w:ascii="Times New Roman" w:hAnsi="Times New Roman"/>
          <w:i/>
          <w:sz w:val="20"/>
          <w:szCs w:val="20"/>
        </w:rPr>
        <w:t xml:space="preserve">Scenario </w:t>
      </w:r>
      <w:r>
        <w:rPr>
          <w:rFonts w:hint="eastAsia" w:ascii="Times New Roman" w:hAnsi="Times New Roman"/>
          <w:i/>
          <w:sz w:val="20"/>
          <w:szCs w:val="20"/>
        </w:rPr>
        <w:t>1 (B</w:t>
      </w:r>
      <w:bookmarkStart w:id="12" w:name="_GoBack"/>
      <w:bookmarkEnd w:id="12"/>
      <w:r>
        <w:rPr>
          <w:rFonts w:hint="eastAsia" w:ascii="Times New Roman" w:hAnsi="Times New Roman"/>
          <w:i/>
          <w:sz w:val="20"/>
          <w:szCs w:val="20"/>
        </w:rPr>
        <w:t>eam indication before cell switch command)</w:t>
      </w:r>
      <w:r>
        <w:rPr>
          <w:rFonts w:ascii="Times New Roman" w:hAnsi="Times New Roman"/>
          <w:i/>
          <w:sz w:val="20"/>
          <w:szCs w:val="20"/>
        </w:rPr>
        <w:t xml:space="preserve"> </w:t>
      </w:r>
      <w:r>
        <w:rPr>
          <w:rFonts w:hint="eastAsia" w:ascii="Times New Roman" w:hAnsi="Times New Roman"/>
          <w:i/>
          <w:sz w:val="20"/>
          <w:szCs w:val="20"/>
        </w:rPr>
        <w:t>in Rel-18 LTM</w:t>
      </w:r>
      <w:r>
        <w:rPr>
          <w:rFonts w:ascii="Times New Roman" w:hAnsi="Times New Roman"/>
          <w:i/>
          <w:sz w:val="20"/>
          <w:szCs w:val="20"/>
        </w:rPr>
        <w:t>.</w:t>
      </w:r>
    </w:p>
    <w:p>
      <w:pPr>
        <w:pStyle w:val="4"/>
        <w:spacing w:before="240" w:after="180" w:afterLines="50" w:line="240" w:lineRule="auto"/>
        <w:rPr>
          <w:sz w:val="21"/>
          <w:szCs w:val="21"/>
        </w:rPr>
      </w:pPr>
      <w:r>
        <w:rPr>
          <w:rFonts w:hint="eastAsia"/>
          <w:sz w:val="21"/>
          <w:szCs w:val="21"/>
        </w:rPr>
        <w:t>2.4.</w:t>
      </w:r>
      <w:r>
        <w:rPr>
          <w:rFonts w:hint="eastAsia" w:eastAsia="宋体"/>
          <w:sz w:val="21"/>
          <w:szCs w:val="21"/>
        </w:rPr>
        <w:t>3</w:t>
      </w:r>
      <w:r>
        <w:rPr>
          <w:rFonts w:hint="eastAsia"/>
          <w:sz w:val="21"/>
          <w:szCs w:val="21"/>
        </w:rPr>
        <w:tab/>
      </w:r>
      <w:r>
        <w:rPr>
          <w:rFonts w:hint="eastAsia" w:eastAsia="宋体"/>
          <w:sz w:val="21"/>
          <w:szCs w:val="21"/>
        </w:rPr>
        <w:t xml:space="preserve">Application time </w:t>
      </w:r>
      <w:r>
        <w:rPr>
          <w:rFonts w:hint="eastAsia"/>
          <w:sz w:val="21"/>
          <w:szCs w:val="21"/>
        </w:rPr>
        <w:t>of TCI indication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Another issue to be considered is application time of beam indication. In Rel-17 ICBM, application time of beam indication is applied for only intra-frequency intra-DU cases and the time of cell switch is not considered. While for Rel-18 LTM, the existing application time of TCI indication specified in Rel-17 ICBM may not cover the time required for cell switch operation, especially for inter-frequency and inter-DU cases. Thus, enhancement on the application time of the indicated TCI state should be considered, e.g., extend the existing application time of TCI indication specified in Rel-17 ICBM to accommodate different application scenarios such as in inter-DU and inter-frequency in Rel-18 LTM.</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 xml:space="preserve">: </w:t>
      </w:r>
      <w:r>
        <w:rPr>
          <w:rFonts w:hint="eastAsia" w:ascii="Times New Roman" w:hAnsi="Times New Roman"/>
          <w:i/>
          <w:sz w:val="20"/>
          <w:szCs w:val="20"/>
        </w:rPr>
        <w:t>In order to support inter-DU and inter-frequency cases for Rel-18 LTM, application time of TCI state to be applied for target cell needs to be defined or modified based on application time of beam indication specified in Rel-17 ICBM.</w:t>
      </w:r>
    </w:p>
    <w:p>
      <w:pPr>
        <w:pStyle w:val="3"/>
        <w:rPr>
          <w:rFonts w:eastAsia="宋体"/>
        </w:rPr>
      </w:pPr>
      <w:r>
        <w:rPr>
          <w:rFonts w:hint="eastAsia" w:eastAsia="宋体"/>
        </w:rPr>
        <w:t>2.5</w:t>
      </w:r>
      <w:r>
        <w:rPr>
          <w:rFonts w:hint="eastAsia" w:eastAsia="宋体"/>
        </w:rPr>
        <w:tab/>
      </w:r>
      <w:r>
        <w:rPr>
          <w:rFonts w:hint="eastAsia" w:eastAsia="宋体"/>
        </w:rPr>
        <w:t>Dynamic cell switch mechanism</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According to the following working assumption from RAN2 #119-e meeting [5], it was agreed that cell switch is triggered based on L1 measurement. That is, after receiving the L1 measurement report of candidate cells, NW can decide when to trigger cell switch and which candidate cell is target cell to switch.</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8"/>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 xml:space="preserve">Assume that we rely on L1 measurements to trigger L1L2 mobility (still measurement for preparation could be L3, FFS)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RAN2#119bis-e meeting, the following working assumption on which container to be used to trigger cell switch was made but eventually DCI or MAC CE used to trigger cell switch is still FFS.</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8"/>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 xml:space="preserve">RAN2 assumes L1/2 mobility trigger information is conveyed in a MAC CE, FFS if the MAC CE or a DCI is used for the actual triggering </w:t>
            </w:r>
          </w:p>
        </w:tc>
      </w:tr>
    </w:tbl>
    <w:p>
      <w:p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The same issue was also discussed in parallel in RAN1#110bis-e meeting and achieved the following agreement:</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46" w:type="dxa"/>
          </w:tcPr>
          <w:p>
            <w:pPr>
              <w:snapToGrid w:val="0"/>
              <w:spacing w:before="180" w:beforeLines="50" w:after="0" w:line="288" w:lineRule="auto"/>
              <w:jc w:val="both"/>
              <w:rPr>
                <w:rFonts w:ascii="Times New Roman" w:hAnsi="Times New Roman"/>
                <w:b/>
                <w:bCs/>
                <w:sz w:val="20"/>
                <w:szCs w:val="20"/>
                <w:highlight w:val="none"/>
                <w:u w:val="single"/>
              </w:rPr>
            </w:pPr>
            <w:r>
              <w:rPr>
                <w:rFonts w:hint="eastAsia" w:ascii="Times New Roman" w:hAnsi="Times New Roman"/>
                <w:b/>
                <w:bCs/>
                <w:sz w:val="20"/>
                <w:szCs w:val="20"/>
                <w:highlight w:val="none"/>
                <w:u w:val="single"/>
              </w:rPr>
              <w:t>Agreement</w:t>
            </w:r>
          </w:p>
          <w:p>
            <w:pPr>
              <w:numPr>
                <w:ilvl w:val="0"/>
                <w:numId w:val="18"/>
              </w:numPr>
              <w:snapToGrid w:val="0"/>
              <w:spacing w:after="0" w:line="288" w:lineRule="auto"/>
              <w:jc w:val="both"/>
              <w:rPr>
                <w:rFonts w:ascii="Times New Roman" w:hAnsi="Times New Roman"/>
                <w:sz w:val="20"/>
                <w:szCs w:val="20"/>
              </w:rPr>
            </w:pPr>
            <w:r>
              <w:rPr>
                <w:rFonts w:hint="eastAsia" w:ascii="Times New Roman" w:hAnsi="Times New Roman"/>
                <w:sz w:val="20"/>
                <w:szCs w:val="20"/>
              </w:rPr>
              <w:t>Interested companies are encouraged to perform technical analysis of the cell switch command from a RAN1 point of view, e.g.</w:t>
            </w:r>
          </w:p>
          <w:p>
            <w:pPr>
              <w:snapToGrid w:val="0"/>
              <w:spacing w:after="0" w:line="288" w:lineRule="auto"/>
              <w:ind w:left="440" w:leftChars="200"/>
              <w:jc w:val="both"/>
              <w:rPr>
                <w:rFonts w:ascii="Times New Roman" w:hAnsi="Times New Roman"/>
                <w:sz w:val="20"/>
                <w:szCs w:val="20"/>
              </w:rPr>
            </w:pPr>
            <w:r>
              <w:rPr>
                <w:rFonts w:hint="eastAsia" w:ascii="Times New Roman" w:hAnsi="Times New Roman"/>
                <w:sz w:val="20"/>
                <w:szCs w:val="20"/>
              </w:rPr>
              <w:t>-       Necessary information included in the command, which is relevant for RAN1 discussion</w:t>
            </w:r>
          </w:p>
          <w:p>
            <w:pPr>
              <w:snapToGrid w:val="0"/>
              <w:spacing w:after="0" w:line="288" w:lineRule="auto"/>
              <w:ind w:left="440" w:leftChars="200"/>
              <w:jc w:val="both"/>
              <w:rPr>
                <w:rFonts w:ascii="Times New Roman" w:hAnsi="Times New Roman"/>
                <w:sz w:val="20"/>
                <w:szCs w:val="20"/>
              </w:rPr>
            </w:pPr>
            <w:r>
              <w:rPr>
                <w:rFonts w:hint="eastAsia" w:ascii="Times New Roman" w:hAnsi="Times New Roman"/>
                <w:sz w:val="20"/>
                <w:szCs w:val="20"/>
              </w:rPr>
              <w:t>-       Necessary number of bits for the information</w:t>
            </w:r>
          </w:p>
          <w:p>
            <w:pPr>
              <w:snapToGrid w:val="0"/>
              <w:spacing w:after="180" w:afterLines="50" w:line="288" w:lineRule="auto"/>
              <w:ind w:left="440" w:leftChars="200"/>
              <w:jc w:val="both"/>
              <w:rPr>
                <w:rFonts w:ascii="Times New Roman" w:hAnsi="Times New Roman"/>
                <w:sz w:val="20"/>
                <w:szCs w:val="20"/>
              </w:rPr>
            </w:pPr>
            <w:r>
              <w:rPr>
                <w:rFonts w:hint="eastAsia" w:ascii="Times New Roman" w:hAnsi="Times New Roman"/>
                <w:sz w:val="20"/>
                <w:szCs w:val="20"/>
              </w:rPr>
              <w:t>-       L1 impact or concern to use DCI or MAC CE for L1/L2 cell switch command</w:t>
            </w:r>
          </w:p>
        </w:tc>
      </w:tr>
    </w:tbl>
    <w:p>
      <w:p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RAN2#120 meeting [6], MAC CE has been agreed to trigger cell switch, as follows: </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widowControl w:val="0"/>
              <w:numPr>
                <w:ilvl w:val="0"/>
                <w:numId w:val="8"/>
              </w:numPr>
              <w:spacing w:before="60" w:after="60"/>
              <w:ind w:left="363" w:hanging="363"/>
              <w:rPr>
                <w:rFonts w:ascii="Times New Roman" w:hAnsi="Times New Roman"/>
                <w:sz w:val="20"/>
                <w:szCs w:val="20"/>
              </w:rPr>
            </w:pPr>
            <w:r>
              <w:rPr>
                <w:rFonts w:ascii="Times New Roman" w:hAnsi="Times New Roman" w:eastAsia="MS Mincho"/>
                <w:b/>
                <w:kern w:val="2"/>
                <w:sz w:val="20"/>
                <w:szCs w:val="24"/>
                <w:lang w:eastAsia="en-GB"/>
              </w:rPr>
              <w:t>The MAC CE agreed to carry LTM related information for cell switch is used for LTM triggering of the cell switch.</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Further, we need to determine which information should be carried in the cell switch command. According to RAN2 conclusion, Cell index has been agreed to be included in cell switch command. Besides, beam indication corresponding to target cell should be also carried since RAN1 has supported Scenario 2: </w:t>
      </w:r>
      <w:r>
        <w:rPr>
          <w:rFonts w:ascii="Times New Roman" w:hAnsi="Times New Roman"/>
          <w:sz w:val="20"/>
          <w:szCs w:val="20"/>
          <w:lang w:eastAsia="en-US"/>
        </w:rPr>
        <w:t>Beam indication together with cell switch command</w:t>
      </w:r>
      <w:r>
        <w:rPr>
          <w:rFonts w:hint="eastAsia" w:ascii="Times New Roman" w:hAnsi="Times New Roman"/>
          <w:sz w:val="20"/>
          <w:szCs w:val="20"/>
        </w:rPr>
        <w:t>. As for TA, it will depend on the progress of PDCCH order based RACH. To be specific, TA field should be present in the cell switch command only if RAR is not needed for PDCCH order based RACH. Otherwise, TA should be absent in cell switch command.</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1</w:t>
      </w:r>
      <w:r>
        <w:rPr>
          <w:rFonts w:hint="eastAsia" w:ascii="Times New Roman" w:hAnsi="Times New Roman"/>
          <w:b/>
          <w:bCs/>
          <w:i/>
          <w:sz w:val="20"/>
          <w:szCs w:val="20"/>
        </w:rPr>
        <w:t>5</w:t>
      </w:r>
      <w:r>
        <w:rPr>
          <w:rFonts w:ascii="Times New Roman" w:hAnsi="Times New Roman"/>
          <w:b/>
          <w:bCs/>
          <w:i/>
          <w:sz w:val="20"/>
          <w:szCs w:val="20"/>
        </w:rPr>
        <w:t xml:space="preserve">: </w:t>
      </w:r>
      <w:r>
        <w:rPr>
          <w:rFonts w:hint="eastAsia" w:ascii="Times New Roman" w:hAnsi="Times New Roman"/>
          <w:i/>
          <w:sz w:val="20"/>
          <w:szCs w:val="20"/>
        </w:rPr>
        <w:t>Cell switch command can include the following contents:</w:t>
      </w:r>
      <w:r>
        <w:rPr>
          <w:rFonts w:ascii="Times New Roman" w:hAnsi="Times New Roman"/>
          <w:i/>
          <w:sz w:val="20"/>
          <w:szCs w:val="20"/>
        </w:rPr>
        <w:t xml:space="preserve"> </w:t>
      </w:r>
    </w:p>
    <w:p>
      <w:pPr>
        <w:numPr>
          <w:ilvl w:val="0"/>
          <w:numId w:val="1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Target cell index</w:t>
      </w:r>
    </w:p>
    <w:p>
      <w:pPr>
        <w:numPr>
          <w:ilvl w:val="0"/>
          <w:numId w:val="1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TCI state corresponding to target cell</w:t>
      </w:r>
    </w:p>
    <w:p>
      <w:pPr>
        <w:numPr>
          <w:ilvl w:val="0"/>
          <w:numId w:val="1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TA</w:t>
      </w:r>
    </w:p>
    <w:p>
      <w:pPr>
        <w:numPr>
          <w:ilvl w:val="0"/>
          <w:numId w:val="20"/>
        </w:numPr>
        <w:snapToGrid w:val="0"/>
        <w:spacing w:before="180" w:beforeLines="50" w:after="180" w:afterLines="50" w:line="288" w:lineRule="auto"/>
        <w:ind w:left="840"/>
        <w:jc w:val="both"/>
        <w:rPr>
          <w:rFonts w:ascii="Times New Roman" w:hAnsi="Times New Roman"/>
          <w:i/>
          <w:sz w:val="20"/>
          <w:szCs w:val="20"/>
        </w:rPr>
      </w:pPr>
      <w:r>
        <w:rPr>
          <w:rFonts w:hint="eastAsia" w:ascii="Times New Roman" w:hAnsi="Times New Roman"/>
          <w:i/>
          <w:sz w:val="20"/>
          <w:szCs w:val="20"/>
        </w:rPr>
        <w:t>TA is present only if RAR is not needed for PDCCH order based RACH</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Consideration on reducing interruption latency</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After RAN2 #119-e meeting, email discussion on timing chart for Rel-18 LTM was initiated</w:t>
      </w:r>
      <w:r>
        <w:rPr>
          <w:rFonts w:ascii="Times New Roman" w:hAnsi="Times New Roman"/>
          <w:sz w:val="20"/>
          <w:szCs w:val="20"/>
        </w:rPr>
        <w:t xml:space="preserve"> </w:t>
      </w:r>
      <w:r>
        <w:rPr>
          <w:rFonts w:hint="eastAsia" w:ascii="Times New Roman" w:hAnsi="Times New Roman"/>
          <w:sz w:val="20"/>
          <w:szCs w:val="20"/>
        </w:rPr>
        <w:t>and it was approved that the following model of</w:t>
      </w:r>
      <w:r>
        <w:rPr>
          <w:rFonts w:ascii="Times New Roman" w:hAnsi="Times New Roman"/>
          <w:sz w:val="20"/>
          <w:szCs w:val="20"/>
        </w:rPr>
        <w:t xml:space="preserve"> </w:t>
      </w:r>
      <w:r>
        <w:rPr>
          <w:rFonts w:hint="eastAsia" w:ascii="Times New Roman" w:hAnsi="Times New Roman"/>
          <w:sz w:val="20"/>
          <w:szCs w:val="20"/>
        </w:rPr>
        <w:t>int</w:t>
      </w:r>
      <w:r>
        <w:rPr>
          <w:rFonts w:ascii="Times New Roman" w:hAnsi="Times New Roman"/>
          <w:sz w:val="20"/>
          <w:szCs w:val="20"/>
        </w:rPr>
        <w:t>erpreting legacy</w:t>
      </w:r>
      <w:r>
        <w:rPr>
          <w:rFonts w:hint="eastAsia" w:ascii="Times New Roman" w:hAnsi="Times New Roman"/>
          <w:sz w:val="20"/>
          <w:szCs w:val="20"/>
        </w:rPr>
        <w:t xml:space="preserve"> mobility latency is regarded as a starting point for studying latency reduction, as shown in Figure 9.</w:t>
      </w:r>
    </w:p>
    <w:p>
      <w:pPr>
        <w:snapToGrid w:val="0"/>
        <w:spacing w:before="180" w:beforeLines="50" w:after="180" w:afterLines="50" w:line="288" w:lineRule="auto"/>
        <w:jc w:val="center"/>
        <w:rPr>
          <w:rFonts w:ascii="Arial" w:hAnsi="Arial" w:cs="Arial"/>
          <w:b/>
          <w:bCs/>
          <w:sz w:val="20"/>
          <w:szCs w:val="20"/>
        </w:rPr>
      </w:pPr>
      <w:r>
        <w:rPr>
          <w:rFonts w:ascii="Arial" w:hAnsi="Arial" w:cs="Arial"/>
          <w:b/>
          <w:bCs/>
          <w:sz w:val="20"/>
          <w:szCs w:val="20"/>
        </w:rPr>
        <w:drawing>
          <wp:inline distT="0" distB="0" distL="0" distR="0">
            <wp:extent cx="5789930" cy="15652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sz w:val="20"/>
          <w:szCs w:val="20"/>
        </w:rPr>
        <w:t xml:space="preserve">Figure </w:t>
      </w:r>
      <w:r>
        <w:rPr>
          <w:rFonts w:hint="eastAsia" w:ascii="Times New Roman" w:hAnsi="Times New Roman"/>
          <w:b/>
          <w:sz w:val="20"/>
          <w:szCs w:val="20"/>
        </w:rPr>
        <w:t>9.</w:t>
      </w:r>
      <w:r>
        <w:rPr>
          <w:rFonts w:ascii="Times New Roman" w:hAnsi="Times New Roman"/>
          <w:b/>
          <w:sz w:val="20"/>
          <w:szCs w:val="20"/>
        </w:rPr>
        <w:t xml:space="preserve"> A model of mobility latency before Rel-18 mobility enhancement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We can observe from the above timing chart that </w:t>
      </w:r>
      <w:r>
        <w:rPr>
          <w:rFonts w:ascii="Times New Roman" w:hAnsi="Times New Roman"/>
          <w:sz w:val="20"/>
          <w:szCs w:val="20"/>
        </w:rPr>
        <w:t>current</w:t>
      </w:r>
      <w:r>
        <w:rPr>
          <w:rFonts w:hint="eastAsia" w:ascii="Times New Roman" w:hAnsi="Times New Roman"/>
          <w:sz w:val="20"/>
          <w:szCs w:val="20"/>
        </w:rPr>
        <w:t xml:space="preserve"> mobility procedure before Rel-18 mobility enhancement can be </w:t>
      </w:r>
      <w:r>
        <w:rPr>
          <w:rFonts w:ascii="Times New Roman" w:hAnsi="Times New Roman"/>
          <w:sz w:val="20"/>
          <w:szCs w:val="20"/>
        </w:rPr>
        <w:t>divided</w:t>
      </w:r>
      <w:r>
        <w:rPr>
          <w:rFonts w:hint="eastAsia" w:ascii="Times New Roman" w:hAnsi="Times New Roman"/>
          <w:sz w:val="20"/>
          <w:szCs w:val="20"/>
        </w:rPr>
        <w:t xml:space="preserve"> into four </w:t>
      </w:r>
      <w:r>
        <w:rPr>
          <w:rFonts w:ascii="Times New Roman" w:hAnsi="Times New Roman"/>
          <w:sz w:val="20"/>
          <w:szCs w:val="20"/>
        </w:rPr>
        <w:t>phases</w:t>
      </w:r>
      <w:r>
        <w:rPr>
          <w:rFonts w:hint="eastAsia" w:ascii="Times New Roman" w:hAnsi="Times New Roman"/>
          <w:sz w:val="20"/>
          <w:szCs w:val="20"/>
        </w:rPr>
        <w:t>: (1) UE reconfiguration; (2) DL synchronization; (3) UL synchronization; (4) T</w:t>
      </w:r>
      <w:r>
        <w:rPr>
          <w:rFonts w:hint="eastAsia" w:ascii="Times New Roman" w:hAnsi="Times New Roman"/>
          <w:sz w:val="13"/>
          <w:szCs w:val="13"/>
        </w:rPr>
        <w:t>first-data</w:t>
      </w:r>
      <w:r>
        <w:rPr>
          <w:rFonts w:hint="eastAsia" w:ascii="Times New Roman" w:hAnsi="Times New Roman"/>
          <w:sz w:val="20"/>
          <w:szCs w:val="20"/>
        </w:rPr>
        <w:t xml:space="preserve">. </w:t>
      </w:r>
      <w:r>
        <w:rPr>
          <w:rFonts w:ascii="Times New Roman" w:hAnsi="Times New Roman"/>
          <w:sz w:val="20"/>
          <w:szCs w:val="20"/>
        </w:rPr>
        <w:t>Herein</w:t>
      </w:r>
      <w:r>
        <w:rPr>
          <w:rFonts w:hint="eastAsia" w:ascii="Times New Roman" w:hAnsi="Times New Roman"/>
          <w:sz w:val="20"/>
          <w:szCs w:val="20"/>
        </w:rPr>
        <w:t>, interruption latency is the time from receiv</w:t>
      </w:r>
      <w:r>
        <w:rPr>
          <w:rFonts w:ascii="Times New Roman" w:hAnsi="Times New Roman"/>
          <w:sz w:val="20"/>
          <w:szCs w:val="20"/>
        </w:rPr>
        <w:t>ing</w:t>
      </w:r>
      <w:r>
        <w:rPr>
          <w:rFonts w:hint="eastAsia" w:ascii="Times New Roman" w:hAnsi="Times New Roman"/>
          <w:sz w:val="20"/>
          <w:szCs w:val="20"/>
        </w:rPr>
        <w:t xml:space="preserve"> the cell switch command to </w:t>
      </w:r>
      <w:r>
        <w:rPr>
          <w:rFonts w:ascii="Times New Roman" w:hAnsi="Times New Roman"/>
          <w:sz w:val="20"/>
          <w:szCs w:val="20"/>
        </w:rPr>
        <w:t>p</w:t>
      </w:r>
      <w:r>
        <w:rPr>
          <w:rFonts w:hint="eastAsia" w:ascii="Times New Roman" w:hAnsi="Times New Roman"/>
          <w:sz w:val="20"/>
          <w:szCs w:val="20"/>
        </w:rPr>
        <w:t>erform</w:t>
      </w:r>
      <w:r>
        <w:rPr>
          <w:rFonts w:ascii="Times New Roman" w:hAnsi="Times New Roman"/>
          <w:sz w:val="20"/>
          <w:szCs w:val="20"/>
        </w:rPr>
        <w:t>ing</w:t>
      </w:r>
      <w:r>
        <w:rPr>
          <w:rFonts w:hint="eastAsia" w:ascii="Times New Roman" w:hAnsi="Times New Roman"/>
          <w:sz w:val="20"/>
          <w:szCs w:val="20"/>
        </w:rPr>
        <w:t xml:space="preserve"> the first DL/UL reception/transmission on the indicated beam of the target cell, which mainly includes three components: DL synchronization, UL synchronization</w:t>
      </w:r>
      <w:r>
        <w:rPr>
          <w:rFonts w:ascii="Times New Roman" w:hAnsi="Times New Roman"/>
          <w:sz w:val="20"/>
          <w:szCs w:val="20"/>
        </w:rPr>
        <w:t xml:space="preserve"> and</w:t>
      </w:r>
      <w:r>
        <w:rPr>
          <w:rFonts w:hint="eastAsia" w:ascii="Times New Roman" w:hAnsi="Times New Roman"/>
          <w:sz w:val="20"/>
          <w:szCs w:val="20"/>
        </w:rPr>
        <w:t xml:space="preserve"> T</w:t>
      </w:r>
      <w:r>
        <w:rPr>
          <w:rFonts w:hint="eastAsia" w:ascii="Times New Roman" w:hAnsi="Times New Roman"/>
          <w:sz w:val="13"/>
          <w:szCs w:val="13"/>
        </w:rPr>
        <w:t>first-data</w:t>
      </w:r>
      <w:r>
        <w:rPr>
          <w:rFonts w:hint="eastAsia" w:ascii="Times New Roman" w:hAnsi="Times New Roman"/>
          <w:sz w:val="20"/>
          <w:szCs w:val="20"/>
        </w:rPr>
        <w: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Each component of mobility latency is described as </w:t>
      </w:r>
      <w:r>
        <w:rPr>
          <w:rFonts w:ascii="Times New Roman" w:hAnsi="Times New Roman"/>
          <w:sz w:val="20"/>
          <w:szCs w:val="20"/>
        </w:rPr>
        <w:t xml:space="preserve">shown in Table </w:t>
      </w:r>
      <w:r>
        <w:rPr>
          <w:rFonts w:hint="eastAsia" w:ascii="Times New Roman" w:hAnsi="Times New Roman"/>
          <w:sz w:val="20"/>
          <w:szCs w:val="20"/>
        </w:rPr>
        <w:t>1</w:t>
      </w:r>
      <w:r>
        <w:rPr>
          <w:rFonts w:ascii="Times New Roman" w:hAnsi="Times New Roman"/>
          <w:sz w:val="20"/>
          <w:szCs w:val="20"/>
        </w:rPr>
        <w:t xml:space="preserve"> below</w:t>
      </w:r>
      <w:r>
        <w:rPr>
          <w:rFonts w:hint="eastAsia" w:ascii="Times New Roman" w:hAnsi="Times New Roman"/>
          <w:sz w:val="20"/>
          <w:szCs w:val="20"/>
        </w:rPr>
        <w:t>:</w:t>
      </w:r>
    </w:p>
    <w:p>
      <w:pPr>
        <w:snapToGrid w:val="0"/>
        <w:spacing w:before="240" w:after="180" w:afterLines="50" w:line="288" w:lineRule="auto"/>
        <w:jc w:val="center"/>
        <w:rPr>
          <w:rFonts w:ascii="Times New Roman" w:hAnsi="Times New Roman"/>
          <w:b/>
          <w:bCs/>
          <w:sz w:val="20"/>
          <w:szCs w:val="20"/>
        </w:rPr>
      </w:pPr>
      <w:r>
        <w:rPr>
          <w:rFonts w:ascii="Times New Roman" w:hAnsi="Times New Roman"/>
          <w:b/>
          <w:sz w:val="20"/>
          <w:szCs w:val="20"/>
        </w:rPr>
        <w:t xml:space="preserve">Table </w:t>
      </w:r>
      <w:r>
        <w:rPr>
          <w:rFonts w:hint="eastAsia" w:ascii="Times New Roman" w:hAnsi="Times New Roman"/>
          <w:b/>
          <w:sz w:val="20"/>
          <w:szCs w:val="20"/>
        </w:rPr>
        <w:t>1.</w:t>
      </w:r>
      <w:r>
        <w:rPr>
          <w:rFonts w:hint="eastAsia" w:ascii="Times New Roman" w:hAnsi="Times New Roman"/>
          <w:sz w:val="20"/>
          <w:szCs w:val="20"/>
        </w:rPr>
        <w:t xml:space="preserve"> </w:t>
      </w:r>
      <w:r>
        <w:rPr>
          <w:rFonts w:ascii="Times New Roman" w:hAnsi="Times New Roman"/>
          <w:b/>
          <w:bCs/>
          <w:sz w:val="20"/>
          <w:szCs w:val="20"/>
        </w:rPr>
        <w:t>Components of Mobility Latency</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1331"/>
        <w:gridCol w:w="4261"/>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Pr>
          <w:p>
            <w:pPr>
              <w:spacing w:after="0"/>
              <w:rPr>
                <w:rFonts w:ascii="Times New Roman" w:hAnsi="Times New Roman"/>
                <w:b/>
                <w:bCs/>
                <w:sz w:val="16"/>
                <w:szCs w:val="16"/>
              </w:rPr>
            </w:pPr>
            <w:r>
              <w:rPr>
                <w:rFonts w:ascii="Times New Roman" w:hAnsi="Times New Roman"/>
                <w:b/>
                <w:bCs/>
                <w:sz w:val="16"/>
                <w:szCs w:val="16"/>
              </w:rPr>
              <w:t>Phase</w:t>
            </w:r>
          </w:p>
        </w:tc>
        <w:tc>
          <w:tcPr>
            <w:tcW w:w="1331" w:type="dxa"/>
            <w:vAlign w:val="center"/>
          </w:tcPr>
          <w:p>
            <w:pPr>
              <w:spacing w:after="0"/>
              <w:rPr>
                <w:rFonts w:ascii="Times New Roman" w:hAnsi="Times New Roman" w:eastAsia="MS Mincho"/>
                <w:b/>
                <w:bCs/>
                <w:sz w:val="16"/>
                <w:szCs w:val="16"/>
              </w:rPr>
            </w:pPr>
            <w:r>
              <w:rPr>
                <w:rFonts w:ascii="Times New Roman" w:hAnsi="Times New Roman" w:eastAsia="MS Mincho"/>
                <w:b/>
                <w:bCs/>
                <w:sz w:val="16"/>
                <w:szCs w:val="16"/>
              </w:rPr>
              <w:t>Component</w:t>
            </w:r>
          </w:p>
        </w:tc>
        <w:tc>
          <w:tcPr>
            <w:tcW w:w="4261" w:type="dxa"/>
            <w:vAlign w:val="center"/>
          </w:tcPr>
          <w:p>
            <w:pPr>
              <w:spacing w:after="0"/>
              <w:rPr>
                <w:rFonts w:ascii="Times New Roman" w:hAnsi="Times New Roman" w:eastAsia="MS Mincho"/>
                <w:b/>
                <w:bCs/>
                <w:sz w:val="16"/>
                <w:szCs w:val="16"/>
              </w:rPr>
            </w:pPr>
            <w:r>
              <w:rPr>
                <w:rFonts w:ascii="Times New Roman" w:hAnsi="Times New Roman" w:eastAsia="MS Mincho"/>
                <w:b/>
                <w:bCs/>
                <w:sz w:val="16"/>
                <w:szCs w:val="16"/>
              </w:rPr>
              <w:t>Meaning</w:t>
            </w:r>
          </w:p>
        </w:tc>
        <w:tc>
          <w:tcPr>
            <w:tcW w:w="2309" w:type="dxa"/>
            <w:vAlign w:val="center"/>
          </w:tcPr>
          <w:p>
            <w:pPr>
              <w:spacing w:after="0"/>
              <w:rPr>
                <w:rFonts w:ascii="Times New Roman" w:hAnsi="Times New Roman" w:eastAsia="MS Mincho"/>
                <w:b/>
                <w:bCs/>
                <w:sz w:val="16"/>
                <w:szCs w:val="16"/>
              </w:rPr>
            </w:pPr>
            <w:r>
              <w:rPr>
                <w:rFonts w:ascii="Times New Roman" w:hAnsi="Times New Roman" w:eastAsia="MS Mincho"/>
                <w:b/>
                <w:bCs/>
                <w:sz w:val="16"/>
                <w:szCs w:val="16"/>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restart"/>
            <w:vAlign w:val="center"/>
          </w:tcPr>
          <w:p>
            <w:pPr>
              <w:spacing w:after="0"/>
              <w:jc w:val="both"/>
              <w:rPr>
                <w:rFonts w:ascii="Times New Roman" w:hAnsi="Times New Roman"/>
                <w:sz w:val="16"/>
                <w:szCs w:val="16"/>
              </w:rPr>
            </w:pPr>
            <w:r>
              <w:rPr>
                <w:rFonts w:ascii="Times New Roman" w:hAnsi="Times New Roman"/>
                <w:sz w:val="16"/>
                <w:szCs w:val="16"/>
              </w:rPr>
              <w:t>UE reconfiguration</w:t>
            </w: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RRC</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 xml:space="preserve">Processing time for </w:t>
            </w:r>
            <w:r>
              <w:rPr>
                <w:rFonts w:ascii="Times New Roman" w:hAnsi="Times New Roman" w:eastAsia="MS Mincho"/>
                <w:i/>
                <w:iCs/>
                <w:sz w:val="16"/>
                <w:szCs w:val="16"/>
              </w:rPr>
              <w:t>RRCReconfiguration</w:t>
            </w:r>
            <w:r>
              <w:rPr>
                <w:rFonts w:ascii="Times New Roman" w:hAnsi="Times New Roman" w:eastAsia="MS Mincho"/>
                <w:sz w:val="16"/>
                <w:szCs w:val="16"/>
              </w:rPr>
              <w:t xml:space="preserve"> carrying candidate configurations</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Up to [10]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continue"/>
            <w:vAlign w:val="center"/>
          </w:tcPr>
          <w:p>
            <w:pPr>
              <w:spacing w:after="0"/>
              <w:jc w:val="both"/>
              <w:rPr>
                <w:rFonts w:ascii="Times New Roman" w:hAnsi="Times New Roman" w:eastAsia="MS Mincho"/>
                <w:sz w:val="16"/>
                <w:szCs w:val="16"/>
              </w:rPr>
            </w:pPr>
          </w:p>
        </w:tc>
        <w:tc>
          <w:tcPr>
            <w:tcW w:w="1331" w:type="dxa"/>
            <w:vAlign w:val="center"/>
          </w:tcPr>
          <w:p>
            <w:pPr>
              <w:spacing w:after="0"/>
              <w:rPr>
                <w:rFonts w:ascii="Times New Roman" w:hAnsi="Times New Roman" w:eastAsia="MS Mincho"/>
                <w:sz w:val="16"/>
                <w:szCs w:val="16"/>
                <w:vertAlign w:val="subscript"/>
              </w:rPr>
            </w:pPr>
            <w:r>
              <w:rPr>
                <w:rFonts w:ascii="Times New Roman" w:hAnsi="Times New Roman" w:eastAsia="MS Mincho"/>
                <w:sz w:val="16"/>
                <w:szCs w:val="16"/>
              </w:rPr>
              <w:t>T</w:t>
            </w:r>
            <w:r>
              <w:rPr>
                <w:rFonts w:ascii="Times New Roman" w:hAnsi="Times New Roman" w:eastAsia="MS Mincho"/>
                <w:sz w:val="16"/>
                <w:szCs w:val="16"/>
                <w:vertAlign w:val="subscript"/>
              </w:rPr>
              <w:t xml:space="preserve">processing,1 </w:t>
            </w:r>
            <w:r>
              <w:rPr>
                <w:rFonts w:ascii="Times New Roman" w:hAnsi="Times New Roman" w:eastAsia="MS Mincho"/>
                <w:sz w:val="16"/>
                <w:szCs w:val="16"/>
              </w:rPr>
              <w:t>/</w:t>
            </w:r>
          </w:p>
          <w:p>
            <w:pPr>
              <w:spacing w:after="0"/>
              <w:rPr>
                <w:rFonts w:ascii="Times New Roman" w:hAnsi="Times New Roman" w:eastAsia="MS Mincho"/>
                <w:sz w:val="16"/>
                <w:szCs w:val="16"/>
                <w:vertAlign w:val="subscript"/>
              </w:rPr>
            </w:pPr>
            <w:r>
              <w:rPr>
                <w:rFonts w:ascii="Times New Roman" w:hAnsi="Times New Roman" w:eastAsia="MS Mincho"/>
                <w:sz w:val="16"/>
                <w:szCs w:val="16"/>
              </w:rPr>
              <w:t>T</w:t>
            </w:r>
            <w:r>
              <w:rPr>
                <w:rFonts w:ascii="Times New Roman" w:hAnsi="Times New Roman" w:eastAsia="MS Mincho"/>
                <w:sz w:val="16"/>
                <w:szCs w:val="16"/>
                <w:vertAlign w:val="subscript"/>
              </w:rPr>
              <w:t>processing,2</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for UE processing, before and after cell switch command, respectively. This may include L2/3 reconfiguration, RF retuning, baseband retuning, security update if needed, etc.</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Up to [20] ms for same FR</w:t>
            </w:r>
          </w:p>
          <w:p>
            <w:pPr>
              <w:spacing w:after="0"/>
              <w:rPr>
                <w:rFonts w:ascii="Times New Roman" w:hAnsi="Times New Roman" w:eastAsia="MS Mincho"/>
                <w:sz w:val="16"/>
                <w:szCs w:val="16"/>
              </w:rPr>
            </w:pPr>
            <w:r>
              <w:rPr>
                <w:rFonts w:ascii="Times New Roman" w:hAnsi="Times New Roman" w:eastAsia="MS Mincho"/>
                <w:sz w:val="16"/>
                <w:szCs w:val="16"/>
              </w:rPr>
              <w:t>Up to [40] ms for different FR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continue"/>
            <w:vAlign w:val="center"/>
          </w:tcPr>
          <w:p>
            <w:pPr>
              <w:spacing w:after="0"/>
              <w:jc w:val="both"/>
              <w:rPr>
                <w:rFonts w:ascii="Times New Roman" w:hAnsi="Times New Roman" w:eastAsia="MS Mincho"/>
                <w:sz w:val="16"/>
                <w:szCs w:val="16"/>
              </w:rPr>
            </w:pP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meas</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Measurement delay (from target appears to cell switch command)</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continue"/>
            <w:vAlign w:val="center"/>
          </w:tcPr>
          <w:p>
            <w:pPr>
              <w:spacing w:after="0"/>
              <w:jc w:val="both"/>
              <w:rPr>
                <w:rFonts w:ascii="Times New Roman" w:hAnsi="Times New Roman" w:eastAsia="MS Mincho"/>
                <w:sz w:val="16"/>
                <w:szCs w:val="16"/>
              </w:rPr>
            </w:pP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cmd</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for processing L1/L2-command (HARQ and parsing)</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Up to [5]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restart"/>
            <w:vAlign w:val="center"/>
          </w:tcPr>
          <w:p>
            <w:pPr>
              <w:spacing w:after="0"/>
              <w:jc w:val="both"/>
              <w:rPr>
                <w:rFonts w:ascii="Times New Roman" w:hAnsi="Times New Roman" w:eastAsia="MS Mincho"/>
                <w:sz w:val="16"/>
                <w:szCs w:val="16"/>
              </w:rPr>
            </w:pPr>
            <w:r>
              <w:rPr>
                <w:rFonts w:ascii="Times New Roman" w:hAnsi="Times New Roman"/>
                <w:sz w:val="16"/>
                <w:szCs w:val="16"/>
              </w:rPr>
              <w:t>DL sync</w:t>
            </w: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search</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required to search the target cell</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0ms (if cell is known)</w:t>
            </w:r>
          </w:p>
          <w:p>
            <w:pPr>
              <w:spacing w:after="0"/>
              <w:rPr>
                <w:rFonts w:ascii="Times New Roman" w:hAnsi="Times New Roman" w:eastAsia="MS Mincho"/>
                <w:sz w:val="16"/>
                <w:szCs w:val="16"/>
              </w:rPr>
            </w:pPr>
            <w:r>
              <w:rPr>
                <w:rFonts w:ascii="Times New Roman" w:hAnsi="Times New Roman" w:eastAsia="MS Mincho"/>
                <w:sz w:val="16"/>
                <w:szCs w:val="16"/>
              </w:rPr>
              <w:t>Up to [60] ms (if cell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continue"/>
            <w:vAlign w:val="center"/>
          </w:tcPr>
          <w:p>
            <w:pPr>
              <w:spacing w:after="0"/>
              <w:jc w:val="both"/>
              <w:rPr>
                <w:rFonts w:ascii="Times New Roman" w:hAnsi="Times New Roman" w:eastAsia="MS Mincho"/>
                <w:sz w:val="16"/>
                <w:szCs w:val="16"/>
              </w:rPr>
            </w:pP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Δ</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for fine tracking and acquiring full timing information</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SMTC periodicity (typ. [20]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continue"/>
            <w:vAlign w:val="center"/>
          </w:tcPr>
          <w:p>
            <w:pPr>
              <w:spacing w:after="0"/>
              <w:jc w:val="both"/>
              <w:rPr>
                <w:rFonts w:ascii="Times New Roman" w:hAnsi="Times New Roman" w:eastAsia="MS Mincho"/>
                <w:sz w:val="16"/>
                <w:szCs w:val="16"/>
              </w:rPr>
            </w:pP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margin</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for SSB or CSI-RS post-processing</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Up to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restart"/>
            <w:vAlign w:val="center"/>
          </w:tcPr>
          <w:p>
            <w:pPr>
              <w:spacing w:after="0"/>
              <w:jc w:val="both"/>
              <w:rPr>
                <w:rFonts w:ascii="Times New Roman" w:hAnsi="Times New Roman" w:eastAsia="MS Mincho"/>
                <w:sz w:val="16"/>
                <w:szCs w:val="16"/>
              </w:rPr>
            </w:pPr>
            <w:r>
              <w:rPr>
                <w:rFonts w:ascii="Times New Roman" w:hAnsi="Times New Roman"/>
                <w:sz w:val="16"/>
                <w:szCs w:val="16"/>
              </w:rPr>
              <w:t>UL sync</w:t>
            </w: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IU</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interruption uncertainty in acquiring the first available PRACH occasion in the new cell</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Typ. [15]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Merge w:val="continue"/>
            <w:vAlign w:val="center"/>
          </w:tcPr>
          <w:p>
            <w:pPr>
              <w:spacing w:after="0"/>
              <w:jc w:val="both"/>
              <w:rPr>
                <w:rFonts w:ascii="Times New Roman" w:hAnsi="Times New Roman" w:eastAsia="MS Mincho"/>
                <w:sz w:val="16"/>
                <w:szCs w:val="16"/>
              </w:rPr>
            </w:pP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RAR</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for RAR delay</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Typ.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first-data</w:t>
            </w:r>
          </w:p>
        </w:tc>
        <w:tc>
          <w:tcPr>
            <w:tcW w:w="1331"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T</w:t>
            </w:r>
            <w:r>
              <w:rPr>
                <w:rFonts w:ascii="Times New Roman" w:hAnsi="Times New Roman" w:eastAsia="MS Mincho"/>
                <w:sz w:val="16"/>
                <w:szCs w:val="16"/>
                <w:vertAlign w:val="subscript"/>
              </w:rPr>
              <w:t>first-data</w:t>
            </w:r>
          </w:p>
        </w:tc>
        <w:tc>
          <w:tcPr>
            <w:tcW w:w="4261" w:type="dxa"/>
            <w:vAlign w:val="center"/>
          </w:tcPr>
          <w:p>
            <w:pPr>
              <w:spacing w:after="0"/>
              <w:jc w:val="both"/>
              <w:rPr>
                <w:rFonts w:ascii="Times New Roman" w:hAnsi="Times New Roman" w:eastAsia="MS Mincho"/>
                <w:sz w:val="16"/>
                <w:szCs w:val="16"/>
              </w:rPr>
            </w:pPr>
            <w:r>
              <w:rPr>
                <w:rFonts w:ascii="Times New Roman" w:hAnsi="Times New Roman" w:eastAsia="MS Mincho"/>
                <w:sz w:val="16"/>
                <w:szCs w:val="16"/>
              </w:rPr>
              <w:t>Time for UE performs the first DL/UL reception/ transmission on the indicated beam of the target cell, after RAR</w:t>
            </w:r>
          </w:p>
        </w:tc>
        <w:tc>
          <w:tcPr>
            <w:tcW w:w="2309" w:type="dxa"/>
            <w:vAlign w:val="center"/>
          </w:tcPr>
          <w:p>
            <w:pPr>
              <w:spacing w:after="0"/>
              <w:rPr>
                <w:rFonts w:ascii="Times New Roman" w:hAnsi="Times New Roman" w:eastAsia="MS Mincho"/>
                <w:sz w:val="16"/>
                <w:szCs w:val="16"/>
              </w:rPr>
            </w:pPr>
            <w:r>
              <w:rPr>
                <w:rFonts w:ascii="Times New Roman" w:hAnsi="Times New Roman" w:eastAsia="MS Mincho"/>
                <w:sz w:val="16"/>
                <w:szCs w:val="16"/>
              </w:rPr>
              <w:t>-</w:t>
            </w:r>
          </w:p>
        </w:tc>
      </w:tr>
    </w:tbl>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T</w:t>
      </w:r>
      <w:r>
        <w:rPr>
          <w:rFonts w:hint="eastAsia" w:ascii="Times New Roman" w:hAnsi="Times New Roman"/>
          <w:sz w:val="20"/>
          <w:szCs w:val="20"/>
        </w:rPr>
        <w:t>o reduce interruption latency, we will in turn analyze each component that contributes to interruption latency in the</w:t>
      </w:r>
      <w:r>
        <w:rPr>
          <w:rFonts w:ascii="Times New Roman" w:hAnsi="Times New Roman"/>
          <w:sz w:val="20"/>
          <w:szCs w:val="20"/>
        </w:rPr>
        <w:t xml:space="preserve"> following sub</w:t>
      </w:r>
      <w:r>
        <w:rPr>
          <w:rFonts w:hint="eastAsia" w:ascii="Times New Roman" w:hAnsi="Times New Roman"/>
          <w:sz w:val="20"/>
          <w:szCs w:val="20"/>
        </w:rPr>
        <w:t>section</w:t>
      </w:r>
      <w:r>
        <w:rPr>
          <w:rFonts w:ascii="Times New Roman" w:hAnsi="Times New Roman"/>
          <w:sz w:val="20"/>
          <w:szCs w:val="20"/>
        </w:rPr>
        <w:t>s</w:t>
      </w:r>
      <w:r>
        <w:rPr>
          <w:rFonts w:hint="eastAsia" w:ascii="Times New Roman" w:hAnsi="Times New Roman"/>
          <w:sz w:val="20"/>
          <w:szCs w:val="20"/>
        </w:rPr>
        <w:t>.</w:t>
      </w:r>
    </w:p>
    <w:p>
      <w:pPr>
        <w:pStyle w:val="3"/>
        <w:rPr>
          <w:rFonts w:eastAsia="宋体"/>
        </w:rPr>
      </w:pPr>
      <w:r>
        <w:rPr>
          <w:rFonts w:hint="eastAsia" w:eastAsia="宋体"/>
        </w:rPr>
        <w:t>3.1</w:t>
      </w:r>
      <w:r>
        <w:rPr>
          <w:rFonts w:hint="eastAsia" w:eastAsia="宋体"/>
        </w:rPr>
        <w:tab/>
      </w:r>
      <w:r>
        <w:rPr>
          <w:rFonts w:hint="eastAsia" w:eastAsia="宋体"/>
        </w:rPr>
        <w:t>DL synchronization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legacy mobility model as shown in Figure 9, after receiving cell switch command, UE is required to perform DL synchronization operation that includes measuring the downlink signal of target cell to acquire time and frequency synchronization with a target cell and detecting the physical layer Cell ID of the target cell.</w:t>
      </w:r>
    </w:p>
    <w:p>
      <w:pPr>
        <w:snapToGrid w:val="0"/>
        <w:spacing w:before="180" w:beforeLines="50" w:after="180" w:afterLines="50" w:line="288" w:lineRule="auto"/>
        <w:jc w:val="both"/>
        <w:rPr>
          <w:rFonts w:ascii="Times New Roman" w:hAnsi="Times New Roman" w:eastAsia="宋体"/>
          <w:sz w:val="20"/>
          <w:szCs w:val="20"/>
        </w:rPr>
      </w:pPr>
      <w:r>
        <w:rPr>
          <w:rFonts w:hint="eastAsia" w:ascii="Times New Roman" w:hAnsi="Times New Roman"/>
          <w:sz w:val="20"/>
          <w:szCs w:val="20"/>
        </w:rPr>
        <w:t xml:space="preserve">In order to reduce latency of DL synchronization, RAN1 in the last meeting has agreed that DL synchronization is done before cell switch command. Considering that </w:t>
      </w:r>
      <w:r>
        <w:rPr>
          <w:rFonts w:hint="eastAsia" w:ascii="Times New Roman" w:hAnsi="Times New Roman" w:eastAsia="宋体"/>
          <w:sz w:val="20"/>
          <w:szCs w:val="20"/>
        </w:rPr>
        <w:t>L1 based measurement is performed before cell switch command and it can be used to achieve the function of acquiring accurate timing information, so we think that DL synchronization can be covered in measurement latency (</w:t>
      </w:r>
      <w:r>
        <w:rPr>
          <w:rFonts w:ascii="Times New Roman" w:hAnsi="Times New Roman" w:eastAsia="MS Mincho"/>
          <w:sz w:val="20"/>
          <w:szCs w:val="20"/>
        </w:rPr>
        <w:t>T</w:t>
      </w:r>
      <w:r>
        <w:rPr>
          <w:rFonts w:ascii="Times New Roman" w:hAnsi="Times New Roman" w:eastAsia="MS Mincho"/>
          <w:sz w:val="20"/>
          <w:szCs w:val="20"/>
          <w:vertAlign w:val="subscript"/>
        </w:rPr>
        <w:t>meas</w:t>
      </w:r>
      <w:r>
        <w:rPr>
          <w:rFonts w:hint="eastAsia" w:ascii="Times New Roman" w:hAnsi="Times New Roman" w:eastAsia="宋体"/>
          <w:sz w:val="20"/>
          <w:szCs w:val="20"/>
        </w:rPr>
        <w:t>)</w:t>
      </w:r>
      <w:r>
        <w:rPr>
          <w:rFonts w:hint="eastAsia" w:ascii="Times New Roman" w:hAnsi="Times New Roman" w:eastAsia="宋体"/>
          <w:sz w:val="20"/>
          <w:szCs w:val="20"/>
          <w:vertAlign w:val="subscript"/>
        </w:rPr>
        <w:t xml:space="preserve"> </w:t>
      </w:r>
      <w:r>
        <w:rPr>
          <w:rFonts w:hint="eastAsia" w:ascii="Times New Roman" w:hAnsi="Times New Roman" w:eastAsia="宋体"/>
          <w:sz w:val="20"/>
          <w:szCs w:val="20"/>
        </w:rPr>
        <w:t>Phase before cell switch command.</w:t>
      </w:r>
    </w:p>
    <w:p>
      <w:pPr>
        <w:snapToGrid w:val="0"/>
        <w:spacing w:before="180" w:beforeLines="50" w:after="180" w:afterLines="50" w:line="288" w:lineRule="auto"/>
        <w:jc w:val="both"/>
        <w:rPr>
          <w:rFonts w:ascii="Times New Roman" w:hAnsi="Times New Roman" w:eastAsia="宋体"/>
          <w:sz w:val="20"/>
          <w:szCs w:val="20"/>
        </w:rPr>
      </w:pPr>
      <w:r>
        <w:rPr>
          <w:rFonts w:hint="eastAsia" w:ascii="Times New Roman" w:hAnsi="Times New Roman" w:eastAsia="宋体"/>
          <w:sz w:val="20"/>
          <w:szCs w:val="20"/>
        </w:rPr>
        <w:t xml:space="preserve">Further, some enhancements need to be considered for DL synchronization. </w:t>
      </w:r>
      <w:r>
        <w:rPr>
          <w:rFonts w:ascii="Times New Roman" w:hAnsi="Times New Roman" w:eastAsia="宋体"/>
          <w:sz w:val="20"/>
          <w:szCs w:val="20"/>
        </w:rPr>
        <w:t>In such case</w:t>
      </w:r>
      <w:r>
        <w:rPr>
          <w:rFonts w:hint="eastAsia" w:ascii="Times New Roman" w:hAnsi="Times New Roman" w:eastAsia="宋体"/>
          <w:sz w:val="20"/>
          <w:szCs w:val="20"/>
        </w:rPr>
        <w:t xml:space="preserve">, </w:t>
      </w:r>
      <w:r>
        <w:rPr>
          <w:rFonts w:hint="eastAsia" w:ascii="Times New Roman" w:hAnsi="Times New Roman"/>
          <w:sz w:val="20"/>
          <w:szCs w:val="20"/>
        </w:rPr>
        <w:t xml:space="preserve">the main latency caused by DL synchronization consists of two components: </w:t>
      </w:r>
      <w:r>
        <w:rPr>
          <w:rFonts w:ascii="Times New Roman" w:hAnsi="Times New Roman" w:eastAsia="MS Mincho"/>
          <w:sz w:val="20"/>
          <w:szCs w:val="20"/>
        </w:rPr>
        <w:t>T</w:t>
      </w:r>
      <w:r>
        <w:rPr>
          <w:rFonts w:ascii="Times New Roman" w:hAnsi="Times New Roman" w:eastAsia="MS Mincho"/>
          <w:sz w:val="20"/>
          <w:szCs w:val="20"/>
          <w:vertAlign w:val="subscript"/>
        </w:rPr>
        <w:t>search</w:t>
      </w:r>
      <w:r>
        <w:rPr>
          <w:rFonts w:hint="eastAsia" w:ascii="Times New Roman" w:hAnsi="Times New Roman"/>
          <w:sz w:val="20"/>
          <w:szCs w:val="20"/>
        </w:rPr>
        <w:t xml:space="preserve"> and </w:t>
      </w:r>
      <w:r>
        <w:rPr>
          <w:rFonts w:ascii="Times New Roman" w:hAnsi="Times New Roman" w:eastAsia="MS Mincho"/>
          <w:sz w:val="20"/>
          <w:szCs w:val="20"/>
        </w:rPr>
        <w:t>T</w:t>
      </w:r>
      <w:r>
        <w:rPr>
          <w:rFonts w:ascii="Times New Roman" w:hAnsi="Times New Roman" w:eastAsia="MS Mincho"/>
          <w:sz w:val="20"/>
          <w:szCs w:val="20"/>
          <w:vertAlign w:val="subscript"/>
        </w:rPr>
        <w:t>Δ</w:t>
      </w:r>
      <w:r>
        <w:rPr>
          <w:rFonts w:hint="eastAsia" w:ascii="Times New Roman" w:hAnsi="Times New Roman" w:eastAsia="宋体"/>
          <w:sz w:val="20"/>
          <w:szCs w:val="20"/>
        </w:rPr>
        <w:t>.</w:t>
      </w:r>
    </w:p>
    <w:p>
      <w:pPr>
        <w:numPr>
          <w:ilvl w:val="0"/>
          <w:numId w:val="21"/>
        </w:numPr>
        <w:snapToGrid w:val="0"/>
        <w:spacing w:before="180" w:beforeLines="50" w:after="180" w:afterLines="50" w:line="288" w:lineRule="auto"/>
        <w:jc w:val="both"/>
        <w:rPr>
          <w:rFonts w:ascii="Times New Roman" w:hAnsi="Times New Roman" w:eastAsia="宋体"/>
          <w:sz w:val="20"/>
          <w:szCs w:val="20"/>
        </w:rPr>
      </w:pPr>
      <w:r>
        <w:rPr>
          <w:rFonts w:hint="eastAsia" w:ascii="Times New Roman" w:hAnsi="Times New Roman" w:eastAsia="宋体"/>
          <w:sz w:val="20"/>
          <w:szCs w:val="20"/>
        </w:rPr>
        <w:t xml:space="preserve">For </w:t>
      </w:r>
      <w:r>
        <w:rPr>
          <w:rFonts w:ascii="Times New Roman" w:hAnsi="Times New Roman" w:eastAsia="MS Mincho"/>
          <w:sz w:val="20"/>
          <w:szCs w:val="20"/>
        </w:rPr>
        <w:t>T</w:t>
      </w:r>
      <w:r>
        <w:rPr>
          <w:rFonts w:ascii="Times New Roman" w:hAnsi="Times New Roman" w:eastAsia="MS Mincho"/>
          <w:sz w:val="20"/>
          <w:szCs w:val="20"/>
          <w:vertAlign w:val="subscript"/>
        </w:rPr>
        <w:t>search</w:t>
      </w:r>
      <w:r>
        <w:rPr>
          <w:rFonts w:hint="eastAsia" w:ascii="Times New Roman" w:hAnsi="Times New Roman"/>
          <w:sz w:val="20"/>
          <w:szCs w:val="20"/>
        </w:rPr>
        <w:t xml:space="preserve">, if target cell is known, then </w:t>
      </w:r>
      <w:r>
        <w:rPr>
          <w:rFonts w:ascii="Times New Roman" w:hAnsi="Times New Roman" w:eastAsia="MS Mincho"/>
          <w:sz w:val="20"/>
          <w:szCs w:val="20"/>
        </w:rPr>
        <w:t>T</w:t>
      </w:r>
      <w:r>
        <w:rPr>
          <w:rFonts w:ascii="Times New Roman" w:hAnsi="Times New Roman" w:eastAsia="MS Mincho"/>
          <w:sz w:val="20"/>
          <w:szCs w:val="20"/>
          <w:vertAlign w:val="subscript"/>
        </w:rPr>
        <w:t>search</w:t>
      </w:r>
      <w:r>
        <w:rPr>
          <w:rFonts w:hint="eastAsia" w:ascii="Times New Roman" w:hAnsi="Times New Roman"/>
          <w:sz w:val="20"/>
          <w:szCs w:val="20"/>
        </w:rPr>
        <w:t xml:space="preserve"> can be assumed to 0 ms. However, if candidate target cell is unknown, UE needs to spend time to search the target cell and the maximum time to be needed is about [60] ms and specific value will be decided by RAN4. Considering the target cell is determined based on L1 based measurement and reporting, thus we can assume the target cell is a known cell, i.e., </w:t>
      </w:r>
      <w:r>
        <w:rPr>
          <w:rFonts w:ascii="Times New Roman" w:hAnsi="Times New Roman" w:eastAsia="MS Mincho"/>
          <w:sz w:val="20"/>
          <w:szCs w:val="20"/>
        </w:rPr>
        <w:t>T</w:t>
      </w:r>
      <w:r>
        <w:rPr>
          <w:rFonts w:ascii="Times New Roman" w:hAnsi="Times New Roman" w:eastAsia="MS Mincho"/>
          <w:sz w:val="20"/>
          <w:szCs w:val="20"/>
          <w:vertAlign w:val="subscript"/>
        </w:rPr>
        <w:t>search</w:t>
      </w:r>
      <w:r>
        <w:rPr>
          <w:rFonts w:hint="eastAsia" w:ascii="Times New Roman" w:hAnsi="Times New Roman" w:eastAsia="宋体"/>
          <w:sz w:val="20"/>
          <w:szCs w:val="20"/>
        </w:rPr>
        <w:t>=0.</w:t>
      </w:r>
      <w:r>
        <w:rPr>
          <w:rFonts w:hint="eastAsia" w:ascii="Times New Roman" w:hAnsi="Times New Roman"/>
          <w:sz w:val="20"/>
          <w:szCs w:val="20"/>
        </w:rPr>
        <w:t xml:space="preserve"> </w:t>
      </w:r>
    </w:p>
    <w:p>
      <w:pPr>
        <w:numPr>
          <w:ilvl w:val="0"/>
          <w:numId w:val="21"/>
        </w:numPr>
        <w:snapToGrid w:val="0"/>
        <w:spacing w:before="180" w:beforeLines="50" w:after="180" w:afterLines="50" w:line="288" w:lineRule="auto"/>
        <w:jc w:val="both"/>
        <w:rPr>
          <w:rFonts w:ascii="Times New Roman" w:hAnsi="Times New Roman" w:eastAsia="宋体"/>
          <w:sz w:val="20"/>
          <w:szCs w:val="20"/>
        </w:rPr>
      </w:pPr>
      <w:r>
        <w:rPr>
          <w:rFonts w:hint="eastAsia" w:ascii="Times New Roman" w:hAnsi="Times New Roman" w:eastAsia="宋体"/>
          <w:sz w:val="20"/>
          <w:szCs w:val="20"/>
        </w:rPr>
        <w:t xml:space="preserve">For </w:t>
      </w:r>
      <w:r>
        <w:rPr>
          <w:rFonts w:ascii="Times New Roman" w:hAnsi="Times New Roman" w:eastAsia="MS Mincho"/>
          <w:sz w:val="20"/>
          <w:szCs w:val="20"/>
        </w:rPr>
        <w:t>T</w:t>
      </w:r>
      <w:r>
        <w:rPr>
          <w:rFonts w:ascii="Times New Roman" w:hAnsi="Times New Roman" w:eastAsia="MS Mincho"/>
          <w:sz w:val="20"/>
          <w:szCs w:val="20"/>
          <w:vertAlign w:val="subscript"/>
        </w:rPr>
        <w:t>Δ</w:t>
      </w:r>
      <w:r>
        <w:rPr>
          <w:rFonts w:hint="eastAsia" w:ascii="Times New Roman" w:hAnsi="Times New Roman" w:eastAsia="宋体"/>
          <w:sz w:val="20"/>
          <w:szCs w:val="20"/>
        </w:rPr>
        <w:t>, in order to acquire fine tracking and full timing information, the UE needs to wait for the first available SSB, which may cause large latency since it is related to the SMTC periodicity of the target cell. In order to reduce this latency, we think that similar design as specified in fast SCell activation can be reused, e.g., SSB can be replaced with AP-TRS for time and frequency tracking.</w:t>
      </w:r>
    </w:p>
    <w:p>
      <w:pPr>
        <w:snapToGrid w:val="0"/>
        <w:spacing w:before="180" w:beforeLines="50" w:after="0" w:line="288" w:lineRule="auto"/>
        <w:jc w:val="both"/>
        <w:rPr>
          <w:rFonts w:ascii="Times New Roman" w:hAnsi="Times New Roman"/>
          <w:bCs/>
          <w:i/>
          <w:sz w:val="20"/>
          <w:szCs w:val="20"/>
        </w:rPr>
      </w:pPr>
      <w:r>
        <w:rPr>
          <w:rFonts w:ascii="Times New Roman" w:hAnsi="Times New Roman"/>
          <w:b/>
          <w:bCs/>
          <w:i/>
          <w:sz w:val="20"/>
          <w:szCs w:val="20"/>
        </w:rPr>
        <w:t>Proposal 1</w:t>
      </w:r>
      <w:r>
        <w:rPr>
          <w:rFonts w:hint="eastAsia" w:ascii="Times New Roman" w:hAnsi="Times New Roman"/>
          <w:b/>
          <w:bCs/>
          <w:i/>
          <w:sz w:val="20"/>
          <w:szCs w:val="20"/>
        </w:rPr>
        <w:t>6</w:t>
      </w:r>
      <w:r>
        <w:rPr>
          <w:rFonts w:ascii="Times New Roman" w:hAnsi="Times New Roman"/>
          <w:b/>
          <w:bCs/>
          <w:i/>
          <w:sz w:val="20"/>
          <w:szCs w:val="20"/>
        </w:rPr>
        <w:t xml:space="preserve">: </w:t>
      </w:r>
      <w:r>
        <w:rPr>
          <w:rFonts w:hint="eastAsia" w:ascii="Times New Roman" w:hAnsi="Times New Roman"/>
          <w:bCs/>
          <w:i/>
          <w:sz w:val="20"/>
          <w:szCs w:val="20"/>
        </w:rPr>
        <w:t xml:space="preserve">To support </w:t>
      </w:r>
      <w:r>
        <w:rPr>
          <w:rFonts w:ascii="Times New Roman" w:hAnsi="Times New Roman"/>
          <w:bCs/>
          <w:i/>
          <w:sz w:val="20"/>
          <w:szCs w:val="20"/>
        </w:rPr>
        <w:t>DL synchronization before cell switch command</w:t>
      </w:r>
      <w:r>
        <w:rPr>
          <w:rFonts w:hint="eastAsia" w:ascii="Times New Roman" w:hAnsi="Times New Roman"/>
          <w:bCs/>
          <w:i/>
          <w:sz w:val="20"/>
          <w:szCs w:val="20"/>
        </w:rPr>
        <w:t>, some enhancements can be considered, such as:</w:t>
      </w:r>
    </w:p>
    <w:p>
      <w:pPr>
        <w:numPr>
          <w:ilvl w:val="0"/>
          <w:numId w:val="22"/>
        </w:numPr>
        <w:snapToGrid w:val="0"/>
        <w:spacing w:before="60" w:after="60" w:line="288" w:lineRule="auto"/>
        <w:jc w:val="both"/>
        <w:rPr>
          <w:i/>
        </w:rPr>
      </w:pPr>
      <w:r>
        <w:rPr>
          <w:rFonts w:ascii="Times New Roman" w:hAnsi="Times New Roman"/>
          <w:i/>
          <w:sz w:val="20"/>
          <w:szCs w:val="20"/>
        </w:rPr>
        <w:t xml:space="preserve">Through pre-searching target cell, the target cell is a known cell, e.g., </w:t>
      </w:r>
      <w:r>
        <w:rPr>
          <w:rFonts w:ascii="Times New Roman" w:hAnsi="Times New Roman" w:eastAsia="MS Mincho"/>
          <w:i/>
          <w:sz w:val="20"/>
          <w:szCs w:val="20"/>
        </w:rPr>
        <w:t>T</w:t>
      </w:r>
      <w:r>
        <w:rPr>
          <w:rFonts w:ascii="Times New Roman" w:hAnsi="Times New Roman" w:eastAsia="MS Mincho"/>
          <w:i/>
          <w:sz w:val="20"/>
          <w:szCs w:val="20"/>
          <w:vertAlign w:val="subscript"/>
        </w:rPr>
        <w:t>search</w:t>
      </w:r>
      <w:r>
        <w:rPr>
          <w:rFonts w:ascii="Times New Roman" w:hAnsi="Times New Roman"/>
          <w:i/>
          <w:sz w:val="20"/>
          <w:szCs w:val="20"/>
        </w:rPr>
        <w:t xml:space="preserve"> = 0;</w:t>
      </w:r>
    </w:p>
    <w:p>
      <w:pPr>
        <w:numPr>
          <w:ilvl w:val="0"/>
          <w:numId w:val="22"/>
        </w:numPr>
        <w:snapToGrid w:val="0"/>
        <w:spacing w:before="180" w:beforeLines="50" w:after="180" w:afterLines="50" w:line="288" w:lineRule="auto"/>
        <w:jc w:val="both"/>
        <w:rPr>
          <w:rFonts w:ascii="Times New Roman" w:hAnsi="Times New Roman"/>
          <w:i/>
          <w:sz w:val="20"/>
          <w:szCs w:val="20"/>
        </w:rPr>
      </w:pPr>
      <w:r>
        <w:rPr>
          <w:rFonts w:ascii="Times New Roman" w:hAnsi="Times New Roman"/>
          <w:i/>
          <w:sz w:val="20"/>
          <w:szCs w:val="20"/>
        </w:rPr>
        <w:t xml:space="preserve">Through reusing procedure specified in fast SCell activation (e.g., SSB can be replaced with AP-TRS for time and frequency tracking), </w:t>
      </w:r>
      <w:r>
        <w:rPr>
          <w:rFonts w:ascii="Times New Roman" w:hAnsi="Times New Roman" w:eastAsia="MS Mincho"/>
          <w:i/>
          <w:sz w:val="20"/>
          <w:szCs w:val="20"/>
        </w:rPr>
        <w:t>time for fine tracking and acquiring full timing information can be saved, e.g., T</w:t>
      </w:r>
      <w:r>
        <w:rPr>
          <w:rFonts w:ascii="Times New Roman" w:hAnsi="Times New Roman" w:eastAsia="MS Mincho"/>
          <w:i/>
          <w:sz w:val="20"/>
          <w:szCs w:val="20"/>
          <w:vertAlign w:val="subscript"/>
        </w:rPr>
        <w:t>Δ</w:t>
      </w:r>
      <w:r>
        <w:rPr>
          <w:rFonts w:ascii="Times New Roman" w:hAnsi="Times New Roman" w:eastAsia="MS Mincho"/>
          <w:i/>
          <w:sz w:val="20"/>
          <w:szCs w:val="20"/>
        </w:rPr>
        <w:t xml:space="preserve"> =0</w:t>
      </w:r>
      <w:r>
        <w:rPr>
          <w:rFonts w:ascii="Times New Roman" w:hAnsi="Times New Roman"/>
          <w:i/>
          <w:sz w:val="20"/>
          <w:szCs w:val="20"/>
        </w:rPr>
        <w:t>.</w:t>
      </w:r>
    </w:p>
    <w:p>
      <w:pPr>
        <w:pStyle w:val="3"/>
        <w:rPr>
          <w:rFonts w:eastAsia="宋体"/>
        </w:rPr>
      </w:pPr>
      <w:r>
        <w:rPr>
          <w:rFonts w:hint="eastAsia" w:eastAsia="宋体"/>
        </w:rPr>
        <w:t>3</w:t>
      </w:r>
      <w:r>
        <w:t>.</w:t>
      </w:r>
      <w:r>
        <w:rPr>
          <w:rFonts w:hint="eastAsia" w:eastAsia="宋体"/>
        </w:rPr>
        <w:t>2</w:t>
      </w:r>
      <w:r>
        <w:rPr>
          <w:rFonts w:hint="eastAsia"/>
        </w:rPr>
        <w:tab/>
      </w:r>
      <w:r>
        <w:rPr>
          <w:rFonts w:hint="eastAsia"/>
        </w:rPr>
        <w:t>UL sync</w:t>
      </w:r>
      <w:r>
        <w:rPr>
          <w:rFonts w:hint="eastAsia" w:eastAsia="宋体"/>
        </w:rPr>
        <w:t>hronization</w:t>
      </w:r>
    </w:p>
    <w:p>
      <w:pPr>
        <w:snapToGrid w:val="0"/>
        <w:spacing w:before="180" w:beforeLines="50" w:after="180" w:afterLines="50" w:line="288" w:lineRule="auto"/>
        <w:jc w:val="both"/>
        <w:rPr>
          <w:rFonts w:ascii="Times New Roman" w:hAnsi="Times New Roman" w:eastAsia="宋体"/>
          <w:sz w:val="20"/>
          <w:szCs w:val="20"/>
        </w:rPr>
      </w:pPr>
      <w:r>
        <w:rPr>
          <w:rFonts w:hint="eastAsia" w:ascii="Times New Roman" w:hAnsi="Times New Roman" w:eastAsia="宋体"/>
          <w:sz w:val="20"/>
          <w:szCs w:val="20"/>
        </w:rPr>
        <w:t xml:space="preserve">UL synchronization is a procedure in which UE is required to perform random access procedure to acquire </w:t>
      </w:r>
      <w:r>
        <w:rPr>
          <w:rFonts w:hint="eastAsia" w:ascii="Times New Roman" w:hAnsi="Times New Roman" w:eastAsia="宋体"/>
          <w:sz w:val="20"/>
          <w:szCs w:val="20"/>
          <w:lang w:val="en-US" w:eastAsia="zh-CN"/>
        </w:rPr>
        <w:t xml:space="preserve">initial </w:t>
      </w:r>
      <w:r>
        <w:rPr>
          <w:rFonts w:hint="eastAsia" w:ascii="Times New Roman" w:hAnsi="Times New Roman" w:eastAsia="宋体"/>
          <w:sz w:val="20"/>
          <w:szCs w:val="20"/>
        </w:rPr>
        <w:t>TA to achieve the purpose of adjusting the uplink timing</w:t>
      </w:r>
      <w:r>
        <w:rPr>
          <w:rFonts w:hint="eastAsia" w:ascii="Times New Roman" w:hAnsi="Times New Roman" w:eastAsia="宋体"/>
          <w:sz w:val="20"/>
          <w:szCs w:val="20"/>
          <w:lang w:val="en-US" w:eastAsia="zh-CN"/>
        </w:rPr>
        <w:t xml:space="preserve"> in legacy</w:t>
      </w:r>
      <w:r>
        <w:rPr>
          <w:rFonts w:hint="eastAsia" w:ascii="Times New Roman" w:hAnsi="Times New Roman" w:eastAsia="宋体"/>
          <w:sz w:val="20"/>
          <w:szCs w:val="20"/>
        </w:rPr>
        <w:t>. However, random access procedure may cause a</w:t>
      </w:r>
      <w:r>
        <w:rPr>
          <w:rFonts w:ascii="Times New Roman" w:hAnsi="Times New Roman" w:eastAsia="宋体"/>
          <w:sz w:val="20"/>
          <w:szCs w:val="20"/>
        </w:rPr>
        <w:t>n</w:t>
      </w:r>
      <w:r>
        <w:rPr>
          <w:rFonts w:hint="eastAsia" w:ascii="Times New Roman" w:hAnsi="Times New Roman" w:eastAsia="宋体"/>
          <w:sz w:val="20"/>
          <w:szCs w:val="20"/>
        </w:rPr>
        <w:t xml:space="preserve"> uncertain latency since UE needs to </w:t>
      </w:r>
      <w:r>
        <w:rPr>
          <w:rFonts w:ascii="Times New Roman" w:hAnsi="Times New Roman" w:eastAsia="MS Mincho"/>
          <w:sz w:val="20"/>
          <w:szCs w:val="20"/>
        </w:rPr>
        <w:t>acqui</w:t>
      </w:r>
      <w:r>
        <w:rPr>
          <w:rFonts w:hint="eastAsia" w:ascii="Times New Roman" w:hAnsi="Times New Roman" w:eastAsia="宋体"/>
          <w:sz w:val="20"/>
          <w:szCs w:val="20"/>
        </w:rPr>
        <w:t>re</w:t>
      </w:r>
      <w:r>
        <w:rPr>
          <w:rFonts w:ascii="Times New Roman" w:hAnsi="Times New Roman" w:eastAsia="MS Mincho"/>
          <w:sz w:val="20"/>
          <w:szCs w:val="20"/>
        </w:rPr>
        <w:t xml:space="preserve"> the first available PRACH occasion </w:t>
      </w:r>
      <w:r>
        <w:rPr>
          <w:rFonts w:hint="eastAsia" w:ascii="Times New Roman" w:hAnsi="Times New Roman" w:eastAsia="宋体"/>
          <w:sz w:val="20"/>
          <w:szCs w:val="20"/>
        </w:rPr>
        <w:t>of target cell</w:t>
      </w:r>
      <w:r>
        <w:rPr>
          <w:rFonts w:hint="eastAsia" w:ascii="Times New Roman" w:hAnsi="Times New Roman" w:eastAsia="宋体"/>
          <w:sz w:val="20"/>
          <w:szCs w:val="20"/>
          <w:lang w:val="en-US" w:eastAsia="zh-CN"/>
        </w:rPr>
        <w:t xml:space="preserve"> to transmit PRACH</w:t>
      </w:r>
      <w:r>
        <w:rPr>
          <w:rFonts w:hint="eastAsia" w:ascii="Times New Roman" w:hAnsi="Times New Roman" w:eastAsia="宋体"/>
          <w:sz w:val="20"/>
          <w:szCs w:val="20"/>
        </w:rPr>
        <w:t xml:space="preserve"> and receive RAR. In order to reduce latency </w:t>
      </w:r>
      <w:r>
        <w:rPr>
          <w:rFonts w:hint="eastAsia" w:ascii="Times New Roman" w:hAnsi="Times New Roman" w:eastAsia="宋体"/>
          <w:sz w:val="20"/>
          <w:szCs w:val="20"/>
          <w:lang w:val="en-US" w:eastAsia="zh-CN"/>
        </w:rPr>
        <w:t>caused by</w:t>
      </w:r>
      <w:r>
        <w:rPr>
          <w:rFonts w:hint="eastAsia" w:ascii="Times New Roman" w:hAnsi="Times New Roman" w:eastAsia="宋体"/>
          <w:sz w:val="20"/>
          <w:szCs w:val="20"/>
        </w:rPr>
        <w:t xml:space="preserve"> UL synchronization, there may be two potential approaches to</w:t>
      </w:r>
      <w:r>
        <w:rPr>
          <w:rFonts w:ascii="Times New Roman" w:hAnsi="Times New Roman" w:eastAsia="宋体"/>
          <w:sz w:val="20"/>
          <w:szCs w:val="20"/>
        </w:rPr>
        <w:t xml:space="preserve"> be</w:t>
      </w:r>
      <w:r>
        <w:rPr>
          <w:rFonts w:hint="eastAsia" w:ascii="Times New Roman" w:hAnsi="Times New Roman" w:eastAsia="宋体"/>
          <w:sz w:val="20"/>
          <w:szCs w:val="20"/>
        </w:rPr>
        <w:t xml:space="preserve"> consider</w:t>
      </w:r>
      <w:r>
        <w:rPr>
          <w:rFonts w:ascii="Times New Roman" w:hAnsi="Times New Roman" w:eastAsia="宋体"/>
          <w:sz w:val="20"/>
          <w:szCs w:val="20"/>
        </w:rPr>
        <w:t>ed</w:t>
      </w:r>
      <w:r>
        <w:rPr>
          <w:rFonts w:hint="eastAsia" w:ascii="Times New Roman" w:hAnsi="Times New Roman" w:eastAsia="宋体"/>
          <w:sz w:val="20"/>
          <w:szCs w:val="20"/>
        </w:rPr>
        <w:t xml:space="preserve">: </w:t>
      </w:r>
      <w:r>
        <w:rPr>
          <w:rFonts w:ascii="Times New Roman" w:hAnsi="Times New Roman" w:eastAsia="宋体"/>
          <w:sz w:val="20"/>
          <w:szCs w:val="20"/>
        </w:rPr>
        <w:t xml:space="preserve">a) </w:t>
      </w:r>
      <w:r>
        <w:rPr>
          <w:rFonts w:hint="eastAsia" w:ascii="Times New Roman" w:hAnsi="Times New Roman" w:eastAsia="宋体"/>
          <w:sz w:val="20"/>
          <w:szCs w:val="20"/>
        </w:rPr>
        <w:t xml:space="preserve">UL synchronization (e.g., PDCCH-order based PRACH) is performed before cell switch command, </w:t>
      </w:r>
      <w:r>
        <w:rPr>
          <w:rFonts w:ascii="Times New Roman" w:hAnsi="Times New Roman" w:eastAsia="宋体"/>
          <w:sz w:val="20"/>
          <w:szCs w:val="20"/>
        </w:rPr>
        <w:t>b)</w:t>
      </w:r>
      <w:r>
        <w:rPr>
          <w:rFonts w:hint="eastAsia" w:ascii="Times New Roman" w:hAnsi="Times New Roman" w:eastAsia="宋体"/>
          <w:sz w:val="20"/>
          <w:szCs w:val="20"/>
        </w:rPr>
        <w:t xml:space="preserve"> RACH-less method, e.g., in LTE, TA is 0 if target cell is small cell, or the target cell belong to the same TAG of serving cell. For the latter, only if the above condition is met, RACH-less method can be used to avoid RA latency. Considering that different methods to reduce latency are applicable to different scenarios, we propose that network can control whether to execute PDCCH-order based PRACH or RACH-less method. If PDCCH-order based PRACH to obtain TA is done before cell switch</w:t>
      </w:r>
      <w:r>
        <w:rPr>
          <w:rFonts w:ascii="Times New Roman" w:hAnsi="Times New Roman" w:eastAsia="宋体"/>
          <w:sz w:val="20"/>
          <w:szCs w:val="20"/>
        </w:rPr>
        <w:t>ing</w:t>
      </w:r>
      <w:r>
        <w:rPr>
          <w:rFonts w:hint="eastAsia" w:ascii="Times New Roman" w:hAnsi="Times New Roman" w:eastAsia="宋体"/>
          <w:sz w:val="20"/>
          <w:szCs w:val="20"/>
        </w:rPr>
        <w:t>, some design principle and possible enhancements can be found in our companion contribution [7].</w:t>
      </w:r>
    </w:p>
    <w:p>
      <w:pPr>
        <w:snapToGrid w:val="0"/>
        <w:spacing w:before="180" w:beforeLines="50" w:after="60" w:line="288" w:lineRule="auto"/>
        <w:jc w:val="both"/>
        <w:rPr>
          <w:rFonts w:ascii="Times New Roman" w:hAnsi="Times New Roman"/>
          <w:i/>
          <w:iCs/>
          <w:sz w:val="20"/>
          <w:szCs w:val="20"/>
        </w:rPr>
      </w:pPr>
      <w:r>
        <w:rPr>
          <w:rFonts w:ascii="Times New Roman" w:hAnsi="Times New Roman"/>
          <w:b/>
          <w:bCs/>
          <w:i/>
          <w:sz w:val="20"/>
          <w:szCs w:val="20"/>
        </w:rPr>
        <w:t>Proposal 1</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Cs/>
          <w:i/>
          <w:iCs/>
          <w:sz w:val="20"/>
          <w:szCs w:val="20"/>
        </w:rPr>
        <w:t>I</w:t>
      </w:r>
      <w:r>
        <w:rPr>
          <w:rFonts w:ascii="Times New Roman" w:hAnsi="Times New Roman"/>
          <w:bCs/>
          <w:i/>
          <w:iCs/>
          <w:sz w:val="20"/>
          <w:szCs w:val="20"/>
        </w:rPr>
        <w:t xml:space="preserve">n order </w:t>
      </w:r>
      <w:r>
        <w:rPr>
          <w:rFonts w:ascii="Times New Roman" w:hAnsi="Times New Roman"/>
          <w:i/>
          <w:iCs/>
          <w:sz w:val="20"/>
          <w:szCs w:val="20"/>
        </w:rPr>
        <w:t xml:space="preserve">to </w:t>
      </w:r>
      <w:r>
        <w:rPr>
          <w:rFonts w:hint="eastAsia" w:ascii="Times New Roman" w:hAnsi="Times New Roman"/>
          <w:i/>
          <w:iCs/>
          <w:sz w:val="20"/>
          <w:szCs w:val="20"/>
        </w:rPr>
        <w:t>acquire TA for candidate cell</w:t>
      </w:r>
      <w:r>
        <w:rPr>
          <w:rFonts w:ascii="Times New Roman" w:hAnsi="Times New Roman"/>
          <w:i/>
          <w:iCs/>
          <w:sz w:val="20"/>
          <w:szCs w:val="20"/>
        </w:rPr>
        <w:t>, the following method can be considered:</w:t>
      </w:r>
    </w:p>
    <w:p>
      <w:pPr>
        <w:numPr>
          <w:ilvl w:val="0"/>
          <w:numId w:val="22"/>
        </w:numPr>
        <w:snapToGrid w:val="0"/>
        <w:spacing w:before="60" w:after="60" w:line="288" w:lineRule="auto"/>
        <w:jc w:val="both"/>
        <w:rPr>
          <w:rFonts w:ascii="Times New Roman" w:hAnsi="Times New Roman"/>
          <w:i/>
          <w:iCs/>
          <w:sz w:val="20"/>
          <w:szCs w:val="20"/>
        </w:rPr>
      </w:pPr>
      <w:r>
        <w:rPr>
          <w:rFonts w:ascii="Times New Roman" w:hAnsi="Times New Roman"/>
          <w:i/>
          <w:iCs/>
          <w:sz w:val="20"/>
          <w:szCs w:val="20"/>
        </w:rPr>
        <w:t>Method-1: PDCCH-order based RACH</w:t>
      </w:r>
      <w:r>
        <w:rPr>
          <w:rFonts w:ascii="Times New Roman" w:hAnsi="Times New Roman" w:eastAsia="宋体"/>
          <w:i/>
          <w:iCs/>
          <w:sz w:val="20"/>
          <w:szCs w:val="20"/>
        </w:rPr>
        <w:t>;</w:t>
      </w:r>
    </w:p>
    <w:p>
      <w:pPr>
        <w:numPr>
          <w:ilvl w:val="0"/>
          <w:numId w:val="22"/>
        </w:numPr>
        <w:snapToGrid w:val="0"/>
        <w:spacing w:before="60" w:after="60" w:line="288" w:lineRule="auto"/>
        <w:jc w:val="both"/>
        <w:rPr>
          <w:rFonts w:ascii="Times New Roman" w:hAnsi="Times New Roman"/>
          <w:i/>
          <w:iCs/>
          <w:sz w:val="20"/>
          <w:szCs w:val="20"/>
        </w:rPr>
      </w:pPr>
      <w:r>
        <w:rPr>
          <w:rFonts w:ascii="Times New Roman" w:hAnsi="Times New Roman" w:eastAsia="宋体"/>
          <w:i/>
          <w:iCs/>
          <w:sz w:val="20"/>
          <w:szCs w:val="20"/>
        </w:rPr>
        <w:t>Method-2: RACH-less, e.g, TA is 0 if target cell is small cell, or the target cell belongs to the same TAG of serving cell</w:t>
      </w:r>
    </w:p>
    <w:p>
      <w:pPr>
        <w:numPr>
          <w:ilvl w:val="255"/>
          <w:numId w:val="0"/>
        </w:numPr>
        <w:snapToGrid w:val="0"/>
        <w:spacing w:before="60" w:after="60" w:line="288" w:lineRule="auto"/>
        <w:jc w:val="both"/>
        <w:rPr>
          <w:rFonts w:ascii="Times New Roman" w:hAnsi="Times New Roman"/>
          <w:i/>
          <w:iCs/>
          <w:sz w:val="20"/>
          <w:szCs w:val="20"/>
        </w:rPr>
      </w:pPr>
      <w:r>
        <w:rPr>
          <w:rFonts w:ascii="Times New Roman" w:hAnsi="Times New Roman" w:eastAsia="宋体"/>
          <w:i/>
          <w:iCs/>
          <w:sz w:val="20"/>
          <w:szCs w:val="20"/>
        </w:rPr>
        <w:t>Note that the usage of the above two methods depends on gNB configuration.</w:t>
      </w:r>
    </w:p>
    <w:p>
      <w:pPr>
        <w:pStyle w:val="3"/>
      </w:pPr>
      <w:r>
        <w:rPr>
          <w:rFonts w:hint="eastAsia" w:eastAsia="宋体"/>
        </w:rPr>
        <w:t>3</w:t>
      </w:r>
      <w:r>
        <w:t>.</w:t>
      </w:r>
      <w:r>
        <w:rPr>
          <w:rFonts w:hint="eastAsia" w:eastAsia="宋体"/>
        </w:rPr>
        <w:t>3</w:t>
      </w:r>
      <w:r>
        <w:rPr>
          <w:rFonts w:hint="eastAsia"/>
        </w:rPr>
        <w:tab/>
      </w:r>
      <w:r>
        <w:rPr>
          <w:rFonts w:hint="eastAsia"/>
        </w:rPr>
        <w:t>T</w:t>
      </w:r>
      <w:r>
        <w:rPr>
          <w:vertAlign w:val="subscript"/>
        </w:rPr>
        <w:t>first-data</w:t>
      </w:r>
    </w:p>
    <w:p>
      <w:pPr>
        <w:snapToGrid w:val="0"/>
        <w:spacing w:before="180" w:beforeLines="50" w:after="180" w:afterLines="50" w:line="288" w:lineRule="auto"/>
        <w:jc w:val="both"/>
        <w:rPr>
          <w:rFonts w:ascii="Times New Roman" w:hAnsi="Times New Roman" w:eastAsia="宋体"/>
          <w:sz w:val="20"/>
          <w:szCs w:val="20"/>
        </w:rPr>
      </w:pPr>
      <w:r>
        <w:rPr>
          <w:rFonts w:ascii="Times New Roman" w:hAnsi="Times New Roman" w:eastAsia="MS Mincho"/>
          <w:sz w:val="20"/>
          <w:szCs w:val="20"/>
        </w:rPr>
        <w:t>T</w:t>
      </w:r>
      <w:r>
        <w:rPr>
          <w:rFonts w:ascii="Times New Roman" w:hAnsi="Times New Roman" w:eastAsia="MS Mincho"/>
          <w:sz w:val="20"/>
          <w:szCs w:val="20"/>
          <w:vertAlign w:val="subscript"/>
        </w:rPr>
        <w:t>first-data</w:t>
      </w:r>
      <w:r>
        <w:rPr>
          <w:rFonts w:hint="eastAsia" w:ascii="Times New Roman" w:hAnsi="Times New Roman"/>
          <w:sz w:val="20"/>
          <w:szCs w:val="20"/>
        </w:rPr>
        <w:t xml:space="preserve"> is a t</w:t>
      </w:r>
      <w:r>
        <w:rPr>
          <w:rFonts w:ascii="Times New Roman" w:hAnsi="Times New Roman" w:eastAsia="宋体"/>
          <w:sz w:val="20"/>
          <w:szCs w:val="20"/>
        </w:rPr>
        <w:t>ime duration from RAR to first data transmission using the indicated beam</w:t>
      </w:r>
      <w:r>
        <w:rPr>
          <w:rFonts w:hint="eastAsia" w:ascii="Times New Roman" w:hAnsi="Times New Roman" w:eastAsia="宋体"/>
          <w:sz w:val="20"/>
          <w:szCs w:val="20"/>
        </w:rPr>
        <w:t xml:space="preserve">. </w:t>
      </w:r>
      <w:r>
        <w:rPr>
          <w:rFonts w:hint="eastAsia" w:ascii="Times New Roman" w:hAnsi="Times New Roman"/>
          <w:sz w:val="20"/>
          <w:szCs w:val="20"/>
        </w:rPr>
        <w:t xml:space="preserve">The motivation for </w:t>
      </w:r>
      <w:r>
        <w:rPr>
          <w:rFonts w:ascii="Times New Roman" w:hAnsi="Times New Roman" w:eastAsia="MS Mincho"/>
          <w:sz w:val="20"/>
          <w:szCs w:val="20"/>
        </w:rPr>
        <w:t>T</w:t>
      </w:r>
      <w:r>
        <w:rPr>
          <w:rFonts w:ascii="Times New Roman" w:hAnsi="Times New Roman" w:eastAsia="MS Mincho"/>
          <w:sz w:val="20"/>
          <w:szCs w:val="20"/>
          <w:vertAlign w:val="subscript"/>
        </w:rPr>
        <w:t>first-data</w:t>
      </w:r>
      <w:r>
        <w:rPr>
          <w:rFonts w:hint="eastAsia" w:ascii="Times New Roman" w:hAnsi="Times New Roman"/>
          <w:sz w:val="20"/>
          <w:szCs w:val="20"/>
        </w:rPr>
        <w:t xml:space="preserve"> to be considered in the interruption latency is </w:t>
      </w:r>
      <w:r>
        <w:rPr>
          <w:rFonts w:ascii="Times New Roman" w:hAnsi="Times New Roman"/>
          <w:sz w:val="20"/>
          <w:szCs w:val="20"/>
        </w:rPr>
        <w:t xml:space="preserve">to consider an FFS listed in the following </w:t>
      </w:r>
      <w:r>
        <w:rPr>
          <w:rFonts w:ascii="Times New Roman" w:hAnsi="Times New Roman" w:eastAsia="宋体"/>
          <w:sz w:val="20"/>
          <w:szCs w:val="20"/>
        </w:rPr>
        <w:t>assumption agreed in RAN2 #119</w:t>
      </w:r>
      <w:r>
        <w:rPr>
          <w:rFonts w:hint="eastAsia" w:ascii="Times New Roman" w:hAnsi="Times New Roman" w:eastAsia="宋体"/>
          <w:sz w:val="20"/>
          <w:szCs w:val="20"/>
        </w:rPr>
        <w:t>-</w:t>
      </w:r>
      <w:r>
        <w:rPr>
          <w:rFonts w:ascii="Times New Roman" w:hAnsi="Times New Roman" w:eastAsia="宋体"/>
          <w:sz w:val="20"/>
          <w:szCs w:val="20"/>
        </w:rPr>
        <w:t>e</w:t>
      </w:r>
      <w:r>
        <w:rPr>
          <w:rFonts w:hint="eastAsia" w:ascii="Times New Roman" w:hAnsi="Times New Roman" w:eastAsia="宋体"/>
          <w:sz w:val="20"/>
          <w:szCs w:val="20"/>
        </w:rPr>
        <w:t xml:space="preserve"> </w:t>
      </w:r>
      <w:r>
        <w:rPr>
          <w:rFonts w:ascii="Times New Roman" w:hAnsi="Times New Roman" w:eastAsia="宋体"/>
          <w:sz w:val="20"/>
          <w:szCs w:val="20"/>
        </w:rPr>
        <w:t xml:space="preserve">meeting, that is, if TRS tracking after HO and CSI-RS measurement should be included in handover interruption </w:t>
      </w:r>
      <w:r>
        <w:rPr>
          <w:rFonts w:hint="eastAsia" w:ascii="Times New Roman" w:hAnsi="Times New Roman" w:eastAsia="宋体"/>
          <w:sz w:val="20"/>
          <w:szCs w:val="20"/>
        </w:rPr>
        <w:t>latency</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 xml:space="preserve">In such case, TRS is used for fine time tracking, and CSI-RS measurement is considered for beam refinement. </w:t>
      </w:r>
    </w:p>
    <w:tbl>
      <w:tblPr>
        <w:tblStyle w:val="28"/>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24" w:type="dxa"/>
          </w:tcPr>
          <w:p>
            <w:pPr>
              <w:pStyle w:val="119"/>
              <w:widowControl w:val="0"/>
              <w:numPr>
                <w:ilvl w:val="0"/>
                <w:numId w:val="23"/>
              </w:numPr>
              <w:ind w:left="440" w:hanging="440"/>
              <w:jc w:val="both"/>
              <w:rPr>
                <w:rFonts w:ascii="Times New Roman" w:hAnsi="Times New Roman" w:eastAsia="宋体"/>
                <w:sz w:val="21"/>
                <w:szCs w:val="21"/>
              </w:rPr>
            </w:pPr>
            <w:r>
              <w:rPr>
                <w:rFonts w:ascii="Times New Roman" w:hAnsi="Times New Roman"/>
              </w:rPr>
              <w:t xml:space="preserve">Assumption: HO interruption time for L1/L2-based inter-cell mobility is the time from UE receives the cell switch command to UE performs the first DL/UL reception/transmission on the indicated beam of the target cell. </w:t>
            </w:r>
            <w:r>
              <w:rPr>
                <w:rFonts w:ascii="Times New Roman" w:hAnsi="Times New Roman"/>
                <w:highlight w:val="yellow"/>
              </w:rPr>
              <w:t>FFS</w:t>
            </w:r>
            <w:r>
              <w:rPr>
                <w:rFonts w:ascii="Times New Roman" w:hAnsi="Times New Roman"/>
              </w:rPr>
              <w:t xml:space="preserve"> if TRS tracking after HO and CSI RS measurement should also be included, i.e. the time to use a high-performance beam (can be clarified further).</w:t>
            </w:r>
          </w:p>
        </w:tc>
      </w:tr>
    </w:tbl>
    <w:p>
      <w:pPr>
        <w:snapToGrid w:val="0"/>
        <w:spacing w:before="180" w:beforeLines="50" w:after="180" w:afterLines="50" w:line="288" w:lineRule="auto"/>
        <w:jc w:val="both"/>
        <w:rPr>
          <w:rFonts w:ascii="Times New Roman" w:hAnsi="Times New Roman" w:eastAsia="宋体"/>
          <w:sz w:val="20"/>
          <w:szCs w:val="20"/>
        </w:rPr>
      </w:pPr>
      <w:r>
        <w:rPr>
          <w:rFonts w:ascii="Times New Roman" w:hAnsi="Times New Roman" w:eastAsia="宋体"/>
          <w:sz w:val="20"/>
          <w:szCs w:val="20"/>
        </w:rPr>
        <w:t xml:space="preserve">In our views, it is beneficial to introduce TRS for fine time tracking to improve demodulation performance compared with SSB. Further, considering interruption latency, we think </w:t>
      </w:r>
      <w:r>
        <w:rPr>
          <w:rFonts w:hint="eastAsia" w:ascii="Times New Roman" w:hAnsi="Times New Roman" w:eastAsia="宋体"/>
          <w:sz w:val="20"/>
          <w:szCs w:val="20"/>
        </w:rPr>
        <w:t xml:space="preserve">that </w:t>
      </w:r>
      <w:r>
        <w:rPr>
          <w:rFonts w:ascii="Times New Roman" w:hAnsi="Times New Roman" w:eastAsia="宋体"/>
          <w:sz w:val="20"/>
          <w:szCs w:val="20"/>
        </w:rPr>
        <w:t xml:space="preserve">TRS can be </w:t>
      </w:r>
      <w:r>
        <w:rPr>
          <w:rFonts w:hint="eastAsia" w:ascii="Times New Roman" w:hAnsi="Times New Roman" w:eastAsia="宋体"/>
          <w:sz w:val="20"/>
          <w:szCs w:val="20"/>
        </w:rPr>
        <w:t>done</w:t>
      </w:r>
      <w:r>
        <w:rPr>
          <w:rFonts w:ascii="Times New Roman" w:hAnsi="Times New Roman" w:eastAsia="宋体"/>
          <w:sz w:val="20"/>
          <w:szCs w:val="20"/>
        </w:rPr>
        <w:t xml:space="preserve"> before cell switch command and this functionality can be achieved </w:t>
      </w:r>
      <w:r>
        <w:rPr>
          <w:rFonts w:hint="eastAsia" w:ascii="Times New Roman" w:hAnsi="Times New Roman" w:eastAsia="宋体"/>
          <w:sz w:val="20"/>
          <w:szCs w:val="20"/>
        </w:rPr>
        <w:t xml:space="preserve">in measurement latency </w:t>
      </w:r>
      <w:r>
        <w:rPr>
          <w:rFonts w:hint="eastAsia" w:ascii="Times New Roman" w:hAnsi="Times New Roman"/>
          <w:sz w:val="20"/>
          <w:szCs w:val="20"/>
        </w:rPr>
        <w:t>(</w:t>
      </w:r>
      <w:r>
        <w:rPr>
          <w:rFonts w:ascii="Times New Roman" w:hAnsi="Times New Roman" w:eastAsia="MS Mincho"/>
          <w:sz w:val="20"/>
          <w:szCs w:val="20"/>
        </w:rPr>
        <w:t>T</w:t>
      </w:r>
      <w:r>
        <w:rPr>
          <w:rFonts w:ascii="Times New Roman" w:hAnsi="Times New Roman" w:eastAsia="MS Mincho"/>
          <w:sz w:val="20"/>
          <w:szCs w:val="20"/>
          <w:vertAlign w:val="subscript"/>
        </w:rPr>
        <w:t>meas</w:t>
      </w:r>
      <w:r>
        <w:rPr>
          <w:rFonts w:hint="eastAsia" w:ascii="Times New Roman" w:hAnsi="Times New Roman" w:eastAsia="宋体"/>
          <w:sz w:val="20"/>
          <w:szCs w:val="20"/>
        </w:rPr>
        <w:t>) phase</w:t>
      </w:r>
      <w:r>
        <w:rPr>
          <w:rFonts w:ascii="Times New Roman" w:hAnsi="Times New Roman" w:eastAsia="宋体"/>
          <w:sz w:val="20"/>
          <w:szCs w:val="20"/>
          <w:vertAlign w:val="subscript"/>
        </w:rPr>
        <w:t xml:space="preserve">. </w:t>
      </w:r>
      <w:r>
        <w:rPr>
          <w:rFonts w:ascii="Times New Roman" w:hAnsi="Times New Roman" w:eastAsia="宋体"/>
          <w:sz w:val="20"/>
          <w:szCs w:val="20"/>
        </w:rPr>
        <w:t xml:space="preserve">However, from overall mobility latency point of view, we </w:t>
      </w:r>
      <w:r>
        <w:rPr>
          <w:rFonts w:hint="eastAsia" w:ascii="Times New Roman" w:hAnsi="Times New Roman" w:eastAsia="宋体"/>
          <w:sz w:val="20"/>
          <w:szCs w:val="20"/>
        </w:rPr>
        <w:t>propose</w:t>
      </w:r>
      <w:r>
        <w:rPr>
          <w:rFonts w:ascii="Times New Roman" w:hAnsi="Times New Roman" w:eastAsia="宋体"/>
          <w:sz w:val="20"/>
          <w:szCs w:val="20"/>
        </w:rPr>
        <w:t xml:space="preserve"> that AP-TRS can be considered to further reduce latency. If TRS is required to be performed after cell switch command, then same method such as AP-TRS can be considered to reduce interruption </w:t>
      </w:r>
      <w:r>
        <w:rPr>
          <w:rFonts w:hint="eastAsia" w:ascii="Times New Roman" w:hAnsi="Times New Roman" w:eastAsia="宋体"/>
          <w:sz w:val="20"/>
          <w:szCs w:val="20"/>
        </w:rPr>
        <w:t>latency</w:t>
      </w:r>
      <w:r>
        <w:rPr>
          <w:rFonts w:ascii="Times New Roman" w:hAnsi="Times New Roman" w:eastAsia="宋体"/>
          <w:sz w:val="20"/>
          <w:szCs w:val="20"/>
        </w:rPr>
        <w:t>.</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For CSI-RS measurement for beam refinement, we </w:t>
      </w:r>
      <w:r>
        <w:rPr>
          <w:rFonts w:hint="eastAsia" w:ascii="Times New Roman" w:hAnsi="Times New Roman"/>
          <w:sz w:val="20"/>
          <w:szCs w:val="20"/>
        </w:rPr>
        <w:t>understand</w:t>
      </w:r>
      <w:r>
        <w:rPr>
          <w:rFonts w:ascii="Times New Roman" w:hAnsi="Times New Roman"/>
          <w:sz w:val="20"/>
          <w:szCs w:val="20"/>
        </w:rPr>
        <w:t xml:space="preserve"> that we should first analyze and discuss the necessity and urgency of introducing CSI-RS for beam refinement. Furthermore, even if CSI-RS needs to be supported, we believe that it can be covered </w:t>
      </w:r>
      <w:r>
        <w:rPr>
          <w:rFonts w:hint="eastAsia" w:ascii="Times New Roman" w:hAnsi="Times New Roman"/>
          <w:sz w:val="20"/>
          <w:szCs w:val="20"/>
        </w:rPr>
        <w:t>in measurement latency (</w:t>
      </w:r>
      <w:r>
        <w:rPr>
          <w:rFonts w:ascii="Times New Roman" w:hAnsi="Times New Roman" w:eastAsia="MS Mincho"/>
          <w:sz w:val="20"/>
          <w:szCs w:val="20"/>
        </w:rPr>
        <w:t>T</w:t>
      </w:r>
      <w:r>
        <w:rPr>
          <w:rFonts w:ascii="Times New Roman" w:hAnsi="Times New Roman" w:eastAsia="MS Mincho"/>
          <w:sz w:val="20"/>
          <w:szCs w:val="20"/>
          <w:vertAlign w:val="subscript"/>
        </w:rPr>
        <w:t>meas</w:t>
      </w:r>
      <w:r>
        <w:rPr>
          <w:rFonts w:hint="eastAsia" w:ascii="Times New Roman" w:hAnsi="Times New Roman" w:eastAsia="宋体"/>
          <w:sz w:val="20"/>
          <w:szCs w:val="20"/>
        </w:rPr>
        <w:t>)</w:t>
      </w:r>
      <w:r>
        <w:rPr>
          <w:rFonts w:ascii="Times New Roman" w:hAnsi="Times New Roman"/>
          <w:sz w:val="20"/>
          <w:szCs w:val="20"/>
        </w:rPr>
        <w:t xml:space="preserve"> </w:t>
      </w:r>
      <w:r>
        <w:rPr>
          <w:rFonts w:hint="eastAsia" w:ascii="Times New Roman" w:hAnsi="Times New Roman"/>
          <w:sz w:val="20"/>
          <w:szCs w:val="20"/>
        </w:rPr>
        <w:t xml:space="preserve">phase </w:t>
      </w:r>
      <w:r>
        <w:rPr>
          <w:rFonts w:ascii="Times New Roman" w:hAnsi="Times New Roman"/>
          <w:sz w:val="20"/>
          <w:szCs w:val="20"/>
        </w:rPr>
        <w:t xml:space="preserve">before cell switch command. </w:t>
      </w:r>
      <w:r>
        <w:rPr>
          <w:rFonts w:hint="eastAsia" w:ascii="Times New Roman" w:hAnsi="Times New Roman"/>
          <w:sz w:val="20"/>
          <w:szCs w:val="20"/>
        </w:rPr>
        <w:t>Further, i</w:t>
      </w:r>
      <w:r>
        <w:rPr>
          <w:rFonts w:ascii="Times New Roman" w:hAnsi="Times New Roman"/>
          <w:sz w:val="20"/>
          <w:szCs w:val="20"/>
        </w:rPr>
        <w:t xml:space="preserve">f </w:t>
      </w:r>
      <w:r>
        <w:rPr>
          <w:rFonts w:hint="eastAsia" w:ascii="Times New Roman" w:hAnsi="Times New Roman"/>
          <w:sz w:val="20"/>
          <w:szCs w:val="20"/>
        </w:rPr>
        <w:t xml:space="preserve">the time when CSI-RS based beam indicated for target cell can be applied is during interruption latency, </w:t>
      </w:r>
      <w:r>
        <w:rPr>
          <w:rFonts w:ascii="Times New Roman" w:hAnsi="Times New Roman"/>
          <w:sz w:val="20"/>
          <w:szCs w:val="20"/>
        </w:rPr>
        <w:t xml:space="preserve">application time for CSI-RS based beam should be considered as a part of interruption </w:t>
      </w:r>
      <w:r>
        <w:rPr>
          <w:rFonts w:hint="eastAsia" w:ascii="Times New Roman" w:hAnsi="Times New Roman"/>
          <w:sz w:val="20"/>
          <w:szCs w:val="20"/>
        </w:rPr>
        <w:t>latency</w:t>
      </w:r>
      <w:r>
        <w:rPr>
          <w:rFonts w:ascii="Times New Roman" w:hAnsi="Times New Roman"/>
          <w:sz w:val="20"/>
          <w:szCs w:val="20"/>
        </w:rPr>
        <w:t>.</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1</w:t>
      </w:r>
      <w:r>
        <w:rPr>
          <w:rFonts w:hint="eastAsia" w:ascii="Times New Roman" w:hAnsi="Times New Roman"/>
          <w:b/>
          <w:bCs/>
          <w:i/>
          <w:sz w:val="20"/>
          <w:szCs w:val="20"/>
        </w:rPr>
        <w:t>8</w:t>
      </w:r>
      <w:r>
        <w:rPr>
          <w:rFonts w:ascii="Times New Roman" w:hAnsi="Times New Roman"/>
          <w:b/>
          <w:bCs/>
          <w:i/>
          <w:sz w:val="20"/>
          <w:szCs w:val="20"/>
        </w:rPr>
        <w:t>:</w:t>
      </w:r>
      <w:r>
        <w:rPr>
          <w:rFonts w:ascii="Times New Roman" w:hAnsi="Times New Roman"/>
          <w:i/>
          <w:sz w:val="20"/>
          <w:szCs w:val="20"/>
        </w:rPr>
        <w:t xml:space="preserve"> TRS for fine time and frequency tracking can be covered in measurement latency (</w:t>
      </w:r>
      <w:r>
        <w:rPr>
          <w:rFonts w:ascii="Times New Roman" w:hAnsi="Times New Roman" w:eastAsia="MS Mincho"/>
          <w:i/>
          <w:sz w:val="20"/>
          <w:szCs w:val="20"/>
        </w:rPr>
        <w:t>T</w:t>
      </w:r>
      <w:r>
        <w:rPr>
          <w:rFonts w:ascii="Times New Roman" w:hAnsi="Times New Roman" w:eastAsia="MS Mincho"/>
          <w:i/>
          <w:sz w:val="20"/>
          <w:szCs w:val="20"/>
          <w:vertAlign w:val="subscript"/>
        </w:rPr>
        <w:t>meas</w:t>
      </w:r>
      <w:r>
        <w:rPr>
          <w:rFonts w:ascii="Times New Roman" w:hAnsi="Times New Roman" w:eastAsia="宋体"/>
          <w:i/>
          <w:sz w:val="20"/>
          <w:szCs w:val="20"/>
        </w:rPr>
        <w:t xml:space="preserve">) </w:t>
      </w:r>
      <w:r>
        <w:rPr>
          <w:rFonts w:ascii="Times New Roman" w:hAnsi="Times New Roman"/>
          <w:i/>
          <w:sz w:val="20"/>
          <w:szCs w:val="20"/>
        </w:rPr>
        <w:t>before cell switching.</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Proposal 1</w:t>
      </w:r>
      <w:r>
        <w:rPr>
          <w:rFonts w:hint="eastAsia" w:ascii="Times New Roman" w:hAnsi="Times New Roman"/>
          <w:b/>
          <w:bCs/>
          <w:i/>
          <w:sz w:val="20"/>
          <w:szCs w:val="20"/>
        </w:rPr>
        <w:t>9</w:t>
      </w:r>
      <w:r>
        <w:rPr>
          <w:rFonts w:ascii="Times New Roman" w:hAnsi="Times New Roman"/>
          <w:b/>
          <w:bCs/>
          <w:i/>
          <w:sz w:val="20"/>
          <w:szCs w:val="20"/>
        </w:rPr>
        <w:t>:</w:t>
      </w:r>
      <w:r>
        <w:rPr>
          <w:rFonts w:ascii="Times New Roman" w:hAnsi="Times New Roman"/>
          <w:i/>
          <w:sz w:val="20"/>
          <w:szCs w:val="20"/>
        </w:rPr>
        <w:t xml:space="preserve"> CSI-RS for beam refinement can be considered before cell switching.</w:t>
      </w:r>
    </w:p>
    <w:p>
      <w:pPr>
        <w:numPr>
          <w:ilvl w:val="0"/>
          <w:numId w:val="22"/>
        </w:numPr>
        <w:snapToGrid w:val="0"/>
        <w:spacing w:before="60" w:after="60" w:line="288" w:lineRule="auto"/>
        <w:jc w:val="both"/>
        <w:rPr>
          <w:rFonts w:ascii="Times New Roman" w:hAnsi="Times New Roman"/>
          <w:i/>
          <w:sz w:val="20"/>
          <w:szCs w:val="20"/>
        </w:rPr>
      </w:pPr>
      <w:r>
        <w:rPr>
          <w:rFonts w:ascii="Times New Roman" w:hAnsi="Times New Roman"/>
          <w:i/>
          <w:sz w:val="20"/>
          <w:szCs w:val="20"/>
        </w:rPr>
        <w:t>If the time when CSI-RS based beam indicated for target cell can be applied is during interruption latency, application time for CSI-RS based beam should be considered as a part of interruption latency.</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0" w:name="OLE_LINK11"/>
      <w:bookmarkStart w:id="11" w:name="OLE_LINK10"/>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Rel-18 L1/L2 </w:t>
      </w:r>
      <w:r>
        <w:rPr>
          <w:rFonts w:hint="eastAsia" w:ascii="Times New Roman" w:hAnsi="Times New Roman"/>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hint="eastAsia" w:ascii="Times New Roman" w:hAnsi="Times New Roman"/>
          <w:iCs/>
          <w:sz w:val="20"/>
          <w:szCs w:val="20"/>
        </w:rPr>
        <w:t xml:space="preserve"> </w:t>
      </w:r>
      <w:r>
        <w:rPr>
          <w:rFonts w:ascii="Times New Roman" w:hAnsi="Times New Roman"/>
          <w:iCs/>
          <w:sz w:val="20"/>
          <w:szCs w:val="20"/>
        </w:rPr>
        <w:t>are provided as follows:</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i/>
          <w:sz w:val="20"/>
          <w:szCs w:val="20"/>
        </w:rPr>
        <w:t xml:space="preserve"> In addition to SSB, CSI-RS for </w:t>
      </w:r>
      <w:r>
        <w:rPr>
          <w:rFonts w:hint="eastAsia" w:ascii="Times New Roman" w:hAnsi="Times New Roman"/>
          <w:i/>
          <w:sz w:val="20"/>
          <w:szCs w:val="20"/>
        </w:rPr>
        <w:t xml:space="preserve">beam management and </w:t>
      </w:r>
      <w:r>
        <w:rPr>
          <w:rFonts w:ascii="Times New Roman" w:hAnsi="Times New Roman"/>
          <w:i/>
          <w:sz w:val="20"/>
          <w:szCs w:val="20"/>
        </w:rPr>
        <w:t>tracking</w:t>
      </w:r>
      <w:r>
        <w:rPr>
          <w:rFonts w:hint="eastAsia" w:ascii="Times New Roman" w:hAnsi="Times New Roman"/>
          <w:i/>
          <w:sz w:val="20"/>
          <w:szCs w:val="20"/>
        </w:rPr>
        <w:t xml:space="preserve"> </w:t>
      </w:r>
      <w:r>
        <w:rPr>
          <w:rFonts w:ascii="Times New Roman" w:hAnsi="Times New Roman"/>
          <w:i/>
          <w:sz w:val="20"/>
          <w:szCs w:val="20"/>
        </w:rPr>
        <w:t>should be supported for Rel-18 L</w:t>
      </w:r>
      <w:r>
        <w:rPr>
          <w:rFonts w:hint="eastAsia" w:ascii="Times New Roman" w:hAnsi="Times New Roman"/>
          <w:i/>
          <w:sz w:val="20"/>
          <w:szCs w:val="20"/>
        </w:rPr>
        <w:t>TM</w:t>
      </w:r>
      <w:r>
        <w:rPr>
          <w:rFonts w:ascii="Times New Roman" w:hAnsi="Times New Roman"/>
          <w:i/>
          <w:sz w:val="20"/>
          <w:szCs w:val="20"/>
        </w:rPr>
        <w:t>.</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2:</w:t>
      </w:r>
      <w:r>
        <w:rPr>
          <w:rFonts w:ascii="Times New Roman" w:hAnsi="Times New Roman"/>
          <w:i/>
          <w:sz w:val="20"/>
          <w:szCs w:val="20"/>
        </w:rPr>
        <w:t xml:space="preserve"> It is recommended that RAN1 send an LS to RAN2 to confirm and clarify the importance of ping-pong issue and impact on Rel-18 L</w:t>
      </w:r>
      <w:r>
        <w:rPr>
          <w:rFonts w:hint="eastAsia" w:ascii="Times New Roman" w:hAnsi="Times New Roman"/>
          <w:i/>
          <w:sz w:val="20"/>
          <w:szCs w:val="20"/>
        </w:rPr>
        <w:t>TM</w:t>
      </w:r>
      <w:r>
        <w:rPr>
          <w:rFonts w:ascii="Times New Roman" w:hAnsi="Times New Roman"/>
          <w:i/>
          <w:sz w:val="20"/>
          <w:szCs w:val="20"/>
        </w:rPr>
        <w:t>.</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 xml:space="preserve">: </w:t>
      </w:r>
      <w:r>
        <w:rPr>
          <w:rFonts w:hint="eastAsia" w:ascii="Times New Roman" w:hAnsi="Times New Roman"/>
          <w:i/>
          <w:sz w:val="20"/>
          <w:szCs w:val="20"/>
        </w:rPr>
        <w:t>If ping-pong issue is confirmed to be solved, AI based beam prediction can be also used as a potential solution to improve robustness of cell switch decision in addition to the filtering method.</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Option-2 (</w:t>
      </w:r>
      <w:r>
        <w:rPr>
          <w:rFonts w:hint="eastAsia" w:ascii="Times New Roman" w:hAnsi="Times New Roman"/>
          <w:i/>
          <w:sz w:val="20"/>
          <w:szCs w:val="20"/>
          <w:lang w:val="en-US" w:eastAsia="zh-CN"/>
        </w:rPr>
        <w:t>i</w:t>
      </w:r>
      <w:r>
        <w:rPr>
          <w:rFonts w:hint="eastAsia" w:ascii="Times New Roman" w:hAnsi="Times New Roman"/>
          <w:i/>
          <w:sz w:val="20"/>
          <w:szCs w:val="20"/>
        </w:rPr>
        <w:t>ntroduce a measurement configuration for candidate cell(s) and serving cell and the measurement configuration is decoupled with serving cell configuration and configured outside serving cell and candidate cell) should be supported considering that it can provide an independent and slim and flexible configuration architecture in consecutive cell switch scenario.</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Periodic and semi-persistent report on PUCCH should be supported in Rel-18 LTM.</w:t>
      </w:r>
      <w:r>
        <w:rPr>
          <w:rFonts w:ascii="Times New Roman" w:hAnsi="Times New Roman"/>
          <w:i/>
          <w:sz w:val="20"/>
          <w:szCs w:val="20"/>
        </w:rPr>
        <w:t xml:space="preserve"> </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ascii="Times New Roman" w:hAnsi="Times New Roman"/>
          <w:i/>
          <w:sz w:val="20"/>
          <w:szCs w:val="20"/>
        </w:rPr>
        <w:t xml:space="preserve"> In a single reporting instance, the maximum number of reported beam</w:t>
      </w:r>
      <w:r>
        <w:rPr>
          <w:rFonts w:hint="eastAsia" w:ascii="Times New Roman" w:hAnsi="Times New Roman"/>
          <w:i/>
          <w:sz w:val="20"/>
          <w:szCs w:val="20"/>
        </w:rPr>
        <w:t>s</w:t>
      </w:r>
      <w:r>
        <w:rPr>
          <w:rFonts w:ascii="Times New Roman" w:hAnsi="Times New Roman"/>
          <w:i/>
          <w:sz w:val="20"/>
          <w:szCs w:val="20"/>
        </w:rPr>
        <w:t xml:space="preserve"> for Rel-18 L</w:t>
      </w:r>
      <w:r>
        <w:rPr>
          <w:rFonts w:hint="eastAsia" w:ascii="Times New Roman" w:hAnsi="Times New Roman"/>
          <w:i/>
          <w:sz w:val="20"/>
          <w:szCs w:val="20"/>
        </w:rPr>
        <w:t>TM is 4</w:t>
      </w:r>
      <w:r>
        <w:rPr>
          <w:rFonts w:ascii="Times New Roman" w:hAnsi="Times New Roman"/>
          <w:i/>
          <w:sz w:val="20"/>
          <w:szCs w:val="20"/>
        </w:rPr>
        <w:t xml:space="preserve">, which is same with Rel-17 ICBM. </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ascii="Times New Roman" w:hAnsi="Times New Roman"/>
          <w:i/>
          <w:sz w:val="20"/>
          <w:szCs w:val="20"/>
        </w:rPr>
        <w:t xml:space="preserve"> The format of beam based measurement reporting specified in Rel-17 ICBM can be reused for Rel-18 L</w:t>
      </w:r>
      <w:r>
        <w:rPr>
          <w:rFonts w:hint="eastAsia" w:ascii="Times New Roman" w:hAnsi="Times New Roman"/>
          <w:i/>
          <w:sz w:val="20"/>
          <w:szCs w:val="20"/>
        </w:rPr>
        <w:t>TM</w:t>
      </w:r>
      <w:r>
        <w:rPr>
          <w:rFonts w:ascii="Times New Roman" w:hAnsi="Times New Roman"/>
          <w:i/>
          <w:sz w:val="20"/>
          <w:szCs w:val="20"/>
        </w:rPr>
        <w:t>.</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E</w:t>
      </w:r>
      <w:r>
        <w:rPr>
          <w:rFonts w:ascii="Times New Roman" w:hAnsi="Times New Roman"/>
          <w:i/>
          <w:sz w:val="20"/>
          <w:szCs w:val="20"/>
        </w:rPr>
        <w:t>vent-triggered reporting</w:t>
      </w:r>
      <w:r>
        <w:rPr>
          <w:rFonts w:hint="eastAsia" w:ascii="Times New Roman" w:hAnsi="Times New Roman"/>
          <w:i/>
          <w:sz w:val="20"/>
          <w:szCs w:val="20"/>
        </w:rPr>
        <w:t xml:space="preserve"> should be supported for Rel-18 LTM to compensate the shortage of </w:t>
      </w:r>
      <w:r>
        <w:rPr>
          <w:rFonts w:ascii="Times New Roman" w:hAnsi="Times New Roman"/>
          <w:i/>
          <w:sz w:val="20"/>
          <w:szCs w:val="20"/>
        </w:rPr>
        <w:t>CSI reporting</w:t>
      </w:r>
      <w:r>
        <w:rPr>
          <w:rFonts w:hint="eastAsia" w:ascii="Times New Roman" w:hAnsi="Times New Roman"/>
          <w:i/>
          <w:sz w:val="20"/>
          <w:szCs w:val="20"/>
        </w:rPr>
        <w:t>.</w:t>
      </w:r>
    </w:p>
    <w:p>
      <w:pPr>
        <w:numPr>
          <w:ilvl w:val="0"/>
          <w:numId w:val="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Note that CSI reporting and event-triggered reporting are not mutually exclusive, rather, complement each other.</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For e</w:t>
      </w:r>
      <w:r>
        <w:rPr>
          <w:rFonts w:ascii="Times New Roman" w:hAnsi="Times New Roman"/>
          <w:i/>
          <w:sz w:val="20"/>
          <w:szCs w:val="20"/>
        </w:rPr>
        <w:t>vent-triggered reporting</w:t>
      </w:r>
      <w:r>
        <w:rPr>
          <w:rFonts w:hint="eastAsia" w:ascii="Times New Roman" w:hAnsi="Times New Roman"/>
          <w:i/>
          <w:sz w:val="20"/>
          <w:szCs w:val="20"/>
        </w:rPr>
        <w:t>, it is recommended to define the event, condition to start/stop the reporting and container to report.</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For e</w:t>
      </w:r>
      <w:r>
        <w:rPr>
          <w:rFonts w:ascii="Times New Roman" w:hAnsi="Times New Roman"/>
          <w:i/>
          <w:sz w:val="20"/>
          <w:szCs w:val="20"/>
        </w:rPr>
        <w:t>vent-triggered reporting</w:t>
      </w:r>
      <w:r>
        <w:rPr>
          <w:rFonts w:hint="eastAsia" w:ascii="Times New Roman" w:hAnsi="Times New Roman"/>
          <w:i/>
          <w:sz w:val="20"/>
          <w:szCs w:val="20"/>
        </w:rPr>
        <w:t xml:space="preserve">, </w:t>
      </w:r>
      <w:r>
        <w:rPr>
          <w:rFonts w:ascii="Times New Roman" w:hAnsi="Times New Roman"/>
          <w:i/>
          <w:sz w:val="20"/>
          <w:szCs w:val="20"/>
        </w:rPr>
        <w:t>MAC CE (e.g., similar BFR MAC CE) can be used carrying measurement report to</w:t>
      </w:r>
      <w:r>
        <w:rPr>
          <w:rFonts w:hint="eastAsia" w:ascii="Times New Roman" w:hAnsi="Times New Roman"/>
          <w:i/>
          <w:sz w:val="20"/>
          <w:szCs w:val="20"/>
          <w:lang w:val="en-US" w:eastAsia="zh-CN"/>
        </w:rPr>
        <w:t xml:space="preserve"> save UL</w:t>
      </w:r>
      <w:r>
        <w:rPr>
          <w:rFonts w:ascii="Times New Roman" w:hAnsi="Times New Roman"/>
          <w:i/>
          <w:sz w:val="20"/>
          <w:szCs w:val="20"/>
        </w:rPr>
        <w:t xml:space="preserve"> resources.</w:t>
      </w:r>
    </w:p>
    <w:p>
      <w:pPr>
        <w:snapToGrid w:val="0"/>
        <w:spacing w:before="180" w:beforeLines="50" w:after="0" w:line="288" w:lineRule="auto"/>
        <w:jc w:val="both"/>
        <w:rPr>
          <w:rStyle w:val="35"/>
          <w:i/>
          <w:iCs/>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 xml:space="preserve">: </w:t>
      </w:r>
      <w:r>
        <w:rPr>
          <w:rFonts w:ascii="Times New Roman" w:hAnsi="Times New Roman"/>
          <w:bCs/>
          <w:i/>
          <w:iCs/>
          <w:sz w:val="20"/>
          <w:szCs w:val="20"/>
        </w:rPr>
        <w:t>From UE energy consumption</w:t>
      </w:r>
      <w:r>
        <w:rPr>
          <w:rFonts w:hint="eastAsia" w:ascii="Times New Roman" w:hAnsi="Times New Roman"/>
          <w:bCs/>
          <w:i/>
          <w:iCs/>
          <w:sz w:val="20"/>
          <w:szCs w:val="20"/>
        </w:rPr>
        <w:t xml:space="preserve"> and supporting consecutive cell switch</w:t>
      </w:r>
      <w:r>
        <w:rPr>
          <w:rFonts w:ascii="Times New Roman" w:hAnsi="Times New Roman"/>
          <w:bCs/>
          <w:i/>
          <w:iCs/>
          <w:sz w:val="20"/>
          <w:szCs w:val="20"/>
        </w:rPr>
        <w:t xml:space="preserve"> </w:t>
      </w:r>
      <w:r>
        <w:rPr>
          <w:rFonts w:hint="eastAsia" w:ascii="Times New Roman" w:hAnsi="Times New Roman"/>
          <w:bCs/>
          <w:i/>
          <w:iCs/>
          <w:sz w:val="20"/>
          <w:szCs w:val="20"/>
        </w:rPr>
        <w:t xml:space="preserve">scenario </w:t>
      </w:r>
      <w:r>
        <w:rPr>
          <w:rFonts w:ascii="Times New Roman" w:hAnsi="Times New Roman"/>
          <w:bCs/>
          <w:i/>
          <w:iCs/>
          <w:sz w:val="20"/>
          <w:szCs w:val="20"/>
        </w:rPr>
        <w:t>point of view, support</w:t>
      </w:r>
      <w:r>
        <w:rPr>
          <w:rFonts w:hint="eastAsia" w:ascii="Times New Roman" w:hAnsi="Times New Roman"/>
          <w:bCs/>
          <w:i/>
          <w:iCs/>
          <w:sz w:val="20"/>
          <w:szCs w:val="20"/>
        </w:rPr>
        <w:t xml:space="preserve"> UE to only measure a subset of</w:t>
      </w:r>
      <w:r>
        <w:rPr>
          <w:rFonts w:ascii="Times New Roman" w:hAnsi="Times New Roman"/>
          <w:bCs/>
          <w:i/>
          <w:iCs/>
          <w:sz w:val="20"/>
          <w:szCs w:val="20"/>
        </w:rPr>
        <w:t xml:space="preserve"> candidate cells </w:t>
      </w:r>
      <w:r>
        <w:rPr>
          <w:rFonts w:hint="eastAsia" w:ascii="Times New Roman" w:hAnsi="Times New Roman"/>
          <w:bCs/>
          <w:i/>
          <w:iCs/>
          <w:sz w:val="20"/>
          <w:szCs w:val="20"/>
        </w:rPr>
        <w:t xml:space="preserve">and/or beams selected </w:t>
      </w:r>
      <w:r>
        <w:rPr>
          <w:rFonts w:ascii="Times New Roman" w:hAnsi="Times New Roman"/>
          <w:bCs/>
          <w:i/>
          <w:iCs/>
          <w:sz w:val="20"/>
          <w:szCs w:val="20"/>
        </w:rPr>
        <w:t>from</w:t>
      </w:r>
      <w:r>
        <w:rPr>
          <w:rFonts w:hint="eastAsia" w:ascii="Times New Roman" w:hAnsi="Times New Roman"/>
          <w:bCs/>
          <w:i/>
          <w:iCs/>
          <w:sz w:val="20"/>
          <w:szCs w:val="20"/>
        </w:rPr>
        <w:t xml:space="preserve"> RRC</w:t>
      </w:r>
      <w:r>
        <w:rPr>
          <w:rFonts w:ascii="Times New Roman" w:hAnsi="Times New Roman"/>
          <w:bCs/>
          <w:i/>
          <w:iCs/>
          <w:sz w:val="20"/>
          <w:szCs w:val="20"/>
        </w:rPr>
        <w:t xml:space="preserve"> pre-configured candidate cell</w:t>
      </w:r>
      <w:r>
        <w:rPr>
          <w:rFonts w:hint="eastAsia" w:ascii="Times New Roman" w:hAnsi="Times New Roman"/>
          <w:bCs/>
          <w:i/>
          <w:iCs/>
          <w:sz w:val="20"/>
          <w:szCs w:val="20"/>
        </w:rPr>
        <w:t xml:space="preserve"> and/or TCI state</w:t>
      </w:r>
      <w:r>
        <w:rPr>
          <w:rFonts w:ascii="Times New Roman" w:hAnsi="Times New Roman"/>
          <w:bCs/>
          <w:i/>
          <w:iCs/>
          <w:sz w:val="20"/>
          <w:szCs w:val="20"/>
        </w:rPr>
        <w:t xml:space="preserve"> pool.</w:t>
      </w:r>
    </w:p>
    <w:p>
      <w:pPr>
        <w:snapToGrid w:val="0"/>
        <w:spacing w:before="180" w:beforeLines="50" w:after="180" w:afterLines="50" w:line="240" w:lineRule="auto"/>
        <w:jc w:val="both"/>
        <w:rPr>
          <w:rFonts w:ascii="Times New Roman" w:hAnsi="Times New Roman"/>
          <w:bCs/>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 xml:space="preserve">: </w:t>
      </w:r>
      <w:r>
        <w:rPr>
          <w:rFonts w:hint="eastAsia" w:ascii="Times New Roman" w:hAnsi="Times New Roman"/>
          <w:i/>
          <w:sz w:val="20"/>
          <w:szCs w:val="20"/>
        </w:rPr>
        <w:t>Alt-1B (</w:t>
      </w:r>
      <w:r>
        <w:rPr>
          <w:rFonts w:hint="eastAsia" w:ascii="Times New Roman" w:hAnsi="Times New Roman"/>
          <w:i/>
          <w:sz w:val="20"/>
          <w:szCs w:val="20"/>
          <w:lang w:val="en-US" w:eastAsia="zh-CN"/>
        </w:rPr>
        <w:t>j</w:t>
      </w:r>
      <w:r>
        <w:rPr>
          <w:rFonts w:hint="eastAsia" w:ascii="Times New Roman" w:hAnsi="Times New Roman"/>
          <w:i/>
          <w:sz w:val="20"/>
          <w:szCs w:val="20"/>
        </w:rPr>
        <w:t>oint TCI state pool for serving cell and candidate cell is configured outside serving cell and candidate cell) should be supported for Rel-18 LTM considering that it can provide an independent and slim and flexible configuration architecture in consecutive cell switch scenario and also have unified design with measurement configuration</w:t>
      </w:r>
      <w:r>
        <w:rPr>
          <w:rFonts w:ascii="Times New Roman" w:hAnsi="Times New Roman"/>
          <w:bCs/>
          <w:i/>
          <w:iCs/>
          <w:sz w:val="20"/>
          <w:szCs w:val="20"/>
        </w:rPr>
        <w:t>.</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 xml:space="preserve">: </w:t>
      </w:r>
      <w:r>
        <w:rPr>
          <w:rFonts w:ascii="Times New Roman" w:hAnsi="Times New Roman"/>
          <w:i/>
          <w:sz w:val="20"/>
          <w:szCs w:val="20"/>
        </w:rPr>
        <w:t xml:space="preserve">From </w:t>
      </w:r>
      <w:r>
        <w:rPr>
          <w:rFonts w:hint="eastAsia" w:ascii="Times New Roman" w:hAnsi="Times New Roman"/>
          <w:i/>
          <w:sz w:val="20"/>
          <w:szCs w:val="20"/>
        </w:rPr>
        <w:t>unified design architecture to support different uses cases</w:t>
      </w:r>
      <w:r>
        <w:rPr>
          <w:rFonts w:ascii="Times New Roman" w:hAnsi="Times New Roman"/>
          <w:i/>
          <w:sz w:val="20"/>
          <w:szCs w:val="20"/>
        </w:rPr>
        <w:t xml:space="preserve"> point of view, </w:t>
      </w:r>
      <w:r>
        <w:rPr>
          <w:rFonts w:hint="eastAsia" w:ascii="Times New Roman" w:hAnsi="Times New Roman"/>
          <w:i/>
          <w:sz w:val="20"/>
          <w:szCs w:val="20"/>
        </w:rPr>
        <w:t xml:space="preserve">it is unnecessary to support </w:t>
      </w:r>
      <w:r>
        <w:rPr>
          <w:rFonts w:ascii="Times New Roman" w:hAnsi="Times New Roman"/>
          <w:i/>
          <w:sz w:val="20"/>
          <w:szCs w:val="20"/>
        </w:rPr>
        <w:t xml:space="preserve">Scenario </w:t>
      </w:r>
      <w:r>
        <w:rPr>
          <w:rFonts w:hint="eastAsia" w:ascii="Times New Roman" w:hAnsi="Times New Roman"/>
          <w:i/>
          <w:sz w:val="20"/>
          <w:szCs w:val="20"/>
        </w:rPr>
        <w:t>1 (Beam indication before cell switch command)</w:t>
      </w:r>
      <w:r>
        <w:rPr>
          <w:rFonts w:ascii="Times New Roman" w:hAnsi="Times New Roman"/>
          <w:i/>
          <w:sz w:val="20"/>
          <w:szCs w:val="20"/>
        </w:rPr>
        <w:t xml:space="preserve"> </w:t>
      </w:r>
      <w:r>
        <w:rPr>
          <w:rFonts w:hint="eastAsia" w:ascii="Times New Roman" w:hAnsi="Times New Roman"/>
          <w:i/>
          <w:sz w:val="20"/>
          <w:szCs w:val="20"/>
        </w:rPr>
        <w:t>in Rel-18 LTM</w:t>
      </w:r>
      <w:r>
        <w:rPr>
          <w:rFonts w:ascii="Times New Roman" w:hAnsi="Times New Roman"/>
          <w:i/>
          <w:sz w:val="20"/>
          <w:szCs w:val="20"/>
        </w:rPr>
        <w:t>.</w:t>
      </w:r>
    </w:p>
    <w:p>
      <w:p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 xml:space="preserve">: </w:t>
      </w:r>
      <w:r>
        <w:rPr>
          <w:rFonts w:hint="eastAsia" w:ascii="Times New Roman" w:hAnsi="Times New Roman"/>
          <w:i/>
          <w:sz w:val="20"/>
          <w:szCs w:val="20"/>
        </w:rPr>
        <w:t>In order to support inter-DU and inter-frequency cases for Rel-18 LTM, application time of TCI state to be applied for target cell needs to be defined or modified based on application time of beam indication specified in Rel-17 ICBM.</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1</w:t>
      </w:r>
      <w:r>
        <w:rPr>
          <w:rFonts w:hint="eastAsia" w:ascii="Times New Roman" w:hAnsi="Times New Roman"/>
          <w:b/>
          <w:bCs/>
          <w:i/>
          <w:sz w:val="20"/>
          <w:szCs w:val="20"/>
        </w:rPr>
        <w:t>5</w:t>
      </w:r>
      <w:r>
        <w:rPr>
          <w:rFonts w:ascii="Times New Roman" w:hAnsi="Times New Roman"/>
          <w:b/>
          <w:bCs/>
          <w:i/>
          <w:sz w:val="20"/>
          <w:szCs w:val="20"/>
        </w:rPr>
        <w:t xml:space="preserve">: </w:t>
      </w:r>
      <w:r>
        <w:rPr>
          <w:rFonts w:hint="eastAsia" w:ascii="Times New Roman" w:hAnsi="Times New Roman"/>
          <w:i/>
          <w:sz w:val="20"/>
          <w:szCs w:val="20"/>
        </w:rPr>
        <w:t>Cell switch command can include the following contents:</w:t>
      </w:r>
      <w:r>
        <w:rPr>
          <w:rFonts w:ascii="Times New Roman" w:hAnsi="Times New Roman"/>
          <w:i/>
          <w:sz w:val="20"/>
          <w:szCs w:val="20"/>
        </w:rPr>
        <w:t xml:space="preserve"> </w:t>
      </w:r>
    </w:p>
    <w:p>
      <w:pPr>
        <w:numPr>
          <w:ilvl w:val="0"/>
          <w:numId w:val="1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Target cell index</w:t>
      </w:r>
    </w:p>
    <w:p>
      <w:pPr>
        <w:numPr>
          <w:ilvl w:val="0"/>
          <w:numId w:val="1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TCI state corresponding to target cell</w:t>
      </w:r>
    </w:p>
    <w:p>
      <w:pPr>
        <w:numPr>
          <w:ilvl w:val="0"/>
          <w:numId w:val="19"/>
        </w:num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
          <w:sz w:val="20"/>
          <w:szCs w:val="20"/>
        </w:rPr>
        <w:t>TA</w:t>
      </w:r>
    </w:p>
    <w:p>
      <w:pPr>
        <w:numPr>
          <w:ilvl w:val="0"/>
          <w:numId w:val="20"/>
        </w:numPr>
        <w:snapToGrid w:val="0"/>
        <w:spacing w:before="180" w:beforeLines="50" w:after="180" w:afterLines="50" w:line="288" w:lineRule="auto"/>
        <w:ind w:left="840"/>
        <w:jc w:val="both"/>
        <w:rPr>
          <w:rFonts w:ascii="Times New Roman" w:hAnsi="Times New Roman"/>
          <w:i/>
          <w:sz w:val="20"/>
          <w:szCs w:val="20"/>
        </w:rPr>
      </w:pPr>
      <w:r>
        <w:rPr>
          <w:rFonts w:hint="eastAsia" w:ascii="Times New Roman" w:hAnsi="Times New Roman"/>
          <w:i/>
          <w:sz w:val="20"/>
          <w:szCs w:val="20"/>
        </w:rPr>
        <w:t>TA is present only if RAR is not needed for PDCCH order based RACH</w:t>
      </w:r>
    </w:p>
    <w:p>
      <w:pPr>
        <w:snapToGrid w:val="0"/>
        <w:spacing w:before="180" w:beforeLines="50" w:after="0" w:line="288" w:lineRule="auto"/>
        <w:jc w:val="both"/>
        <w:rPr>
          <w:rFonts w:ascii="Times New Roman" w:hAnsi="Times New Roman"/>
          <w:bCs/>
          <w:i/>
          <w:sz w:val="20"/>
          <w:szCs w:val="20"/>
        </w:rPr>
      </w:pPr>
      <w:r>
        <w:rPr>
          <w:rFonts w:ascii="Times New Roman" w:hAnsi="Times New Roman"/>
          <w:b/>
          <w:bCs/>
          <w:i/>
          <w:sz w:val="20"/>
          <w:szCs w:val="20"/>
        </w:rPr>
        <w:t>Proposal 1</w:t>
      </w:r>
      <w:r>
        <w:rPr>
          <w:rFonts w:hint="eastAsia" w:ascii="Times New Roman" w:hAnsi="Times New Roman"/>
          <w:b/>
          <w:bCs/>
          <w:i/>
          <w:sz w:val="20"/>
          <w:szCs w:val="20"/>
        </w:rPr>
        <w:t>6</w:t>
      </w:r>
      <w:r>
        <w:rPr>
          <w:rFonts w:ascii="Times New Roman" w:hAnsi="Times New Roman"/>
          <w:b/>
          <w:bCs/>
          <w:i/>
          <w:sz w:val="20"/>
          <w:szCs w:val="20"/>
        </w:rPr>
        <w:t xml:space="preserve">: </w:t>
      </w:r>
      <w:r>
        <w:rPr>
          <w:rFonts w:hint="eastAsia" w:ascii="Times New Roman" w:hAnsi="Times New Roman"/>
          <w:bCs/>
          <w:i/>
          <w:sz w:val="20"/>
          <w:szCs w:val="20"/>
        </w:rPr>
        <w:t xml:space="preserve">To support </w:t>
      </w:r>
      <w:r>
        <w:rPr>
          <w:rFonts w:ascii="Times New Roman" w:hAnsi="Times New Roman"/>
          <w:bCs/>
          <w:i/>
          <w:sz w:val="20"/>
          <w:szCs w:val="20"/>
        </w:rPr>
        <w:t>DL synchronization before cell switch command</w:t>
      </w:r>
      <w:r>
        <w:rPr>
          <w:rFonts w:hint="eastAsia" w:ascii="Times New Roman" w:hAnsi="Times New Roman"/>
          <w:bCs/>
          <w:i/>
          <w:sz w:val="20"/>
          <w:szCs w:val="20"/>
        </w:rPr>
        <w:t>, some enhancements can be considered, such as:</w:t>
      </w:r>
    </w:p>
    <w:p>
      <w:pPr>
        <w:numPr>
          <w:ilvl w:val="0"/>
          <w:numId w:val="22"/>
        </w:numPr>
        <w:snapToGrid w:val="0"/>
        <w:spacing w:before="60" w:after="60" w:line="288" w:lineRule="auto"/>
        <w:jc w:val="both"/>
        <w:rPr>
          <w:i/>
        </w:rPr>
      </w:pPr>
      <w:r>
        <w:rPr>
          <w:rFonts w:ascii="Times New Roman" w:hAnsi="Times New Roman"/>
          <w:i/>
          <w:sz w:val="20"/>
          <w:szCs w:val="20"/>
        </w:rPr>
        <w:t xml:space="preserve">Through pre-searching target cell, the target cell is a known cell, e.g., </w:t>
      </w:r>
      <w:r>
        <w:rPr>
          <w:rFonts w:ascii="Times New Roman" w:hAnsi="Times New Roman" w:eastAsia="MS Mincho"/>
          <w:i/>
          <w:sz w:val="20"/>
          <w:szCs w:val="20"/>
        </w:rPr>
        <w:t>T</w:t>
      </w:r>
      <w:r>
        <w:rPr>
          <w:rFonts w:ascii="Times New Roman" w:hAnsi="Times New Roman" w:eastAsia="MS Mincho"/>
          <w:i/>
          <w:sz w:val="20"/>
          <w:szCs w:val="20"/>
          <w:vertAlign w:val="subscript"/>
        </w:rPr>
        <w:t>search</w:t>
      </w:r>
      <w:r>
        <w:rPr>
          <w:rFonts w:ascii="Times New Roman" w:hAnsi="Times New Roman"/>
          <w:i/>
          <w:sz w:val="20"/>
          <w:szCs w:val="20"/>
        </w:rPr>
        <w:t xml:space="preserve"> = 0;</w:t>
      </w:r>
    </w:p>
    <w:p>
      <w:pPr>
        <w:numPr>
          <w:ilvl w:val="0"/>
          <w:numId w:val="22"/>
        </w:numPr>
        <w:snapToGrid w:val="0"/>
        <w:spacing w:before="180" w:beforeLines="50" w:after="180" w:afterLines="50" w:line="288" w:lineRule="auto"/>
        <w:jc w:val="both"/>
        <w:rPr>
          <w:rFonts w:ascii="Times New Roman" w:hAnsi="Times New Roman"/>
          <w:i/>
          <w:sz w:val="20"/>
          <w:szCs w:val="20"/>
        </w:rPr>
      </w:pPr>
      <w:r>
        <w:rPr>
          <w:rFonts w:ascii="Times New Roman" w:hAnsi="Times New Roman"/>
          <w:i/>
          <w:sz w:val="20"/>
          <w:szCs w:val="20"/>
        </w:rPr>
        <w:t xml:space="preserve">Through reusing procedure specified in fast SCell activation (e.g., SSB can be replaced with AP-TRS for time and frequency tracking), </w:t>
      </w:r>
      <w:r>
        <w:rPr>
          <w:rFonts w:ascii="Times New Roman" w:hAnsi="Times New Roman" w:eastAsia="MS Mincho"/>
          <w:i/>
          <w:sz w:val="20"/>
          <w:szCs w:val="20"/>
        </w:rPr>
        <w:t>time for fine tracking and acquiring full timing information can be saved, e.g., T</w:t>
      </w:r>
      <w:r>
        <w:rPr>
          <w:rFonts w:ascii="Times New Roman" w:hAnsi="Times New Roman" w:eastAsia="MS Mincho"/>
          <w:i/>
          <w:sz w:val="20"/>
          <w:szCs w:val="20"/>
          <w:vertAlign w:val="subscript"/>
        </w:rPr>
        <w:t>Δ</w:t>
      </w:r>
      <w:r>
        <w:rPr>
          <w:rFonts w:ascii="Times New Roman" w:hAnsi="Times New Roman" w:eastAsia="MS Mincho"/>
          <w:i/>
          <w:sz w:val="20"/>
          <w:szCs w:val="20"/>
        </w:rPr>
        <w:t xml:space="preserve"> =0</w:t>
      </w:r>
      <w:r>
        <w:rPr>
          <w:rFonts w:ascii="Times New Roman" w:hAnsi="Times New Roman"/>
          <w:i/>
          <w:sz w:val="20"/>
          <w:szCs w:val="20"/>
        </w:rPr>
        <w:t>.</w:t>
      </w:r>
    </w:p>
    <w:p>
      <w:pPr>
        <w:snapToGrid w:val="0"/>
        <w:spacing w:before="180" w:beforeLines="50" w:after="60" w:line="288" w:lineRule="auto"/>
        <w:jc w:val="both"/>
        <w:rPr>
          <w:rFonts w:ascii="Times New Roman" w:hAnsi="Times New Roman"/>
          <w:i/>
          <w:iCs/>
          <w:sz w:val="20"/>
          <w:szCs w:val="20"/>
        </w:rPr>
      </w:pPr>
      <w:r>
        <w:rPr>
          <w:rFonts w:ascii="Times New Roman" w:hAnsi="Times New Roman"/>
          <w:b/>
          <w:bCs/>
          <w:i/>
          <w:sz w:val="20"/>
          <w:szCs w:val="20"/>
        </w:rPr>
        <w:t>Proposal 1</w:t>
      </w:r>
      <w:r>
        <w:rPr>
          <w:rFonts w:hint="eastAsia" w:ascii="Times New Roman" w:hAnsi="Times New Roman"/>
          <w:b/>
          <w:bCs/>
          <w:i/>
          <w:sz w:val="20"/>
          <w:szCs w:val="20"/>
        </w:rPr>
        <w:t>7</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bCs/>
          <w:i/>
          <w:iCs/>
          <w:sz w:val="20"/>
          <w:szCs w:val="20"/>
        </w:rPr>
        <w:t>I</w:t>
      </w:r>
      <w:r>
        <w:rPr>
          <w:rFonts w:ascii="Times New Roman" w:hAnsi="Times New Roman"/>
          <w:bCs/>
          <w:i/>
          <w:iCs/>
          <w:sz w:val="20"/>
          <w:szCs w:val="20"/>
        </w:rPr>
        <w:t xml:space="preserve">n order </w:t>
      </w:r>
      <w:r>
        <w:rPr>
          <w:rFonts w:ascii="Times New Roman" w:hAnsi="Times New Roman"/>
          <w:i/>
          <w:iCs/>
          <w:sz w:val="20"/>
          <w:szCs w:val="20"/>
        </w:rPr>
        <w:t xml:space="preserve">to </w:t>
      </w:r>
      <w:r>
        <w:rPr>
          <w:rFonts w:hint="eastAsia" w:ascii="Times New Roman" w:hAnsi="Times New Roman"/>
          <w:i/>
          <w:iCs/>
          <w:sz w:val="20"/>
          <w:szCs w:val="20"/>
        </w:rPr>
        <w:t>acquire TA for candidate cell</w:t>
      </w:r>
      <w:r>
        <w:rPr>
          <w:rFonts w:ascii="Times New Roman" w:hAnsi="Times New Roman"/>
          <w:i/>
          <w:iCs/>
          <w:sz w:val="20"/>
          <w:szCs w:val="20"/>
        </w:rPr>
        <w:t>, the following method can be considered:</w:t>
      </w:r>
    </w:p>
    <w:p>
      <w:pPr>
        <w:numPr>
          <w:ilvl w:val="0"/>
          <w:numId w:val="22"/>
        </w:numPr>
        <w:snapToGrid w:val="0"/>
        <w:spacing w:before="60" w:after="60" w:line="288" w:lineRule="auto"/>
        <w:jc w:val="both"/>
        <w:rPr>
          <w:rFonts w:ascii="Times New Roman" w:hAnsi="Times New Roman"/>
          <w:i/>
          <w:iCs/>
          <w:sz w:val="20"/>
          <w:szCs w:val="20"/>
        </w:rPr>
      </w:pPr>
      <w:r>
        <w:rPr>
          <w:rFonts w:ascii="Times New Roman" w:hAnsi="Times New Roman"/>
          <w:i/>
          <w:iCs/>
          <w:sz w:val="20"/>
          <w:szCs w:val="20"/>
        </w:rPr>
        <w:t>Method-1: PDCCH</w:t>
      </w:r>
      <w:r>
        <w:rPr>
          <w:rFonts w:hint="eastAsia" w:ascii="Times New Roman" w:hAnsi="Times New Roman"/>
          <w:i/>
          <w:iCs/>
          <w:sz w:val="20"/>
          <w:szCs w:val="20"/>
        </w:rPr>
        <w:t xml:space="preserve"> </w:t>
      </w:r>
      <w:r>
        <w:rPr>
          <w:rFonts w:ascii="Times New Roman" w:hAnsi="Times New Roman"/>
          <w:i/>
          <w:iCs/>
          <w:sz w:val="20"/>
          <w:szCs w:val="20"/>
        </w:rPr>
        <w:t>order based RACH</w:t>
      </w:r>
      <w:r>
        <w:rPr>
          <w:rFonts w:ascii="Times New Roman" w:hAnsi="Times New Roman" w:eastAsia="宋体"/>
          <w:i/>
          <w:iCs/>
          <w:sz w:val="20"/>
          <w:szCs w:val="20"/>
        </w:rPr>
        <w:t>;</w:t>
      </w:r>
    </w:p>
    <w:p>
      <w:pPr>
        <w:numPr>
          <w:ilvl w:val="0"/>
          <w:numId w:val="22"/>
        </w:numPr>
        <w:snapToGrid w:val="0"/>
        <w:spacing w:before="60" w:after="60" w:line="288" w:lineRule="auto"/>
        <w:jc w:val="both"/>
        <w:rPr>
          <w:rFonts w:ascii="Times New Roman" w:hAnsi="Times New Roman"/>
          <w:i/>
          <w:iCs/>
          <w:sz w:val="20"/>
          <w:szCs w:val="20"/>
        </w:rPr>
      </w:pPr>
      <w:r>
        <w:rPr>
          <w:rFonts w:ascii="Times New Roman" w:hAnsi="Times New Roman" w:eastAsia="宋体"/>
          <w:i/>
          <w:iCs/>
          <w:sz w:val="20"/>
          <w:szCs w:val="20"/>
        </w:rPr>
        <w:t>Method-2: RACH-less, e.g, TA is 0 if target cell is small cell, or the target cell belongs to the same TAG of serving cell</w:t>
      </w:r>
    </w:p>
    <w:p>
      <w:pPr>
        <w:numPr>
          <w:ilvl w:val="255"/>
          <w:numId w:val="0"/>
        </w:numPr>
        <w:snapToGrid w:val="0"/>
        <w:spacing w:before="60" w:after="60" w:line="288" w:lineRule="auto"/>
        <w:jc w:val="both"/>
        <w:rPr>
          <w:rFonts w:ascii="Times New Roman" w:hAnsi="Times New Roman"/>
          <w:i/>
          <w:iCs/>
          <w:sz w:val="20"/>
          <w:szCs w:val="20"/>
        </w:rPr>
      </w:pPr>
      <w:r>
        <w:rPr>
          <w:rFonts w:ascii="Times New Roman" w:hAnsi="Times New Roman" w:eastAsia="宋体"/>
          <w:i/>
          <w:iCs/>
          <w:sz w:val="20"/>
          <w:szCs w:val="20"/>
        </w:rPr>
        <w:t>Note that the usage of the above two methods depends on gNB configuration.</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Proposal 1</w:t>
      </w:r>
      <w:r>
        <w:rPr>
          <w:rFonts w:hint="eastAsia" w:ascii="Times New Roman" w:hAnsi="Times New Roman"/>
          <w:b/>
          <w:bCs/>
          <w:i/>
          <w:sz w:val="20"/>
          <w:szCs w:val="20"/>
        </w:rPr>
        <w:t>8</w:t>
      </w:r>
      <w:r>
        <w:rPr>
          <w:rFonts w:ascii="Times New Roman" w:hAnsi="Times New Roman"/>
          <w:b/>
          <w:bCs/>
          <w:i/>
          <w:sz w:val="20"/>
          <w:szCs w:val="20"/>
        </w:rPr>
        <w:t>:</w:t>
      </w:r>
      <w:r>
        <w:rPr>
          <w:rFonts w:ascii="Times New Roman" w:hAnsi="Times New Roman"/>
          <w:i/>
          <w:sz w:val="20"/>
          <w:szCs w:val="20"/>
        </w:rPr>
        <w:t xml:space="preserve"> TRS for fine time and frequency tracking can be covered in measurement latency (</w:t>
      </w:r>
      <w:r>
        <w:rPr>
          <w:rFonts w:ascii="Times New Roman" w:hAnsi="Times New Roman" w:eastAsia="MS Mincho"/>
          <w:i/>
          <w:sz w:val="20"/>
          <w:szCs w:val="20"/>
        </w:rPr>
        <w:t>T</w:t>
      </w:r>
      <w:r>
        <w:rPr>
          <w:rFonts w:ascii="Times New Roman" w:hAnsi="Times New Roman" w:eastAsia="MS Mincho"/>
          <w:i/>
          <w:sz w:val="20"/>
          <w:szCs w:val="20"/>
          <w:vertAlign w:val="subscript"/>
        </w:rPr>
        <w:t>meas</w:t>
      </w:r>
      <w:r>
        <w:rPr>
          <w:rFonts w:ascii="Times New Roman" w:hAnsi="Times New Roman" w:eastAsia="宋体"/>
          <w:i/>
          <w:sz w:val="20"/>
          <w:szCs w:val="20"/>
        </w:rPr>
        <w:t xml:space="preserve">) </w:t>
      </w:r>
      <w:r>
        <w:rPr>
          <w:rFonts w:ascii="Times New Roman" w:hAnsi="Times New Roman"/>
          <w:i/>
          <w:sz w:val="20"/>
          <w:szCs w:val="20"/>
        </w:rPr>
        <w:t>before cell switching.</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Proposal 1</w:t>
      </w:r>
      <w:r>
        <w:rPr>
          <w:rFonts w:hint="eastAsia" w:ascii="Times New Roman" w:hAnsi="Times New Roman"/>
          <w:b/>
          <w:bCs/>
          <w:i/>
          <w:sz w:val="20"/>
          <w:szCs w:val="20"/>
        </w:rPr>
        <w:t>9</w:t>
      </w:r>
      <w:r>
        <w:rPr>
          <w:rFonts w:ascii="Times New Roman" w:hAnsi="Times New Roman"/>
          <w:b/>
          <w:bCs/>
          <w:i/>
          <w:sz w:val="20"/>
          <w:szCs w:val="20"/>
        </w:rPr>
        <w:t>:</w:t>
      </w:r>
      <w:r>
        <w:rPr>
          <w:rFonts w:ascii="Times New Roman" w:hAnsi="Times New Roman"/>
          <w:i/>
          <w:sz w:val="20"/>
          <w:szCs w:val="20"/>
        </w:rPr>
        <w:t xml:space="preserve"> CSI-RS for beam refinement can be considered before cell switching.</w:t>
      </w:r>
    </w:p>
    <w:p>
      <w:pPr>
        <w:numPr>
          <w:ilvl w:val="0"/>
          <w:numId w:val="24"/>
        </w:numPr>
        <w:snapToGrid w:val="0"/>
        <w:spacing w:before="180" w:beforeLines="50" w:after="60" w:line="288" w:lineRule="auto"/>
        <w:jc w:val="both"/>
        <w:rPr>
          <w:rFonts w:ascii="Times New Roman" w:hAnsi="Times New Roman"/>
          <w:bCs/>
          <w:i/>
          <w:iCs/>
          <w:sz w:val="20"/>
          <w:szCs w:val="20"/>
        </w:rPr>
      </w:pPr>
      <w:r>
        <w:rPr>
          <w:rFonts w:ascii="Times New Roman" w:hAnsi="Times New Roman"/>
          <w:i/>
          <w:sz w:val="20"/>
          <w:szCs w:val="20"/>
        </w:rPr>
        <w:t>If the time when CSI-RS based beam indicated for target cell can be applied is during interruption latency, application time for CSI-RS based beam should be considered as a part of interruption latency.</w:t>
      </w:r>
    </w:p>
    <w:p>
      <w:pPr>
        <w:numPr>
          <w:ilvl w:val="255"/>
          <w:numId w:val="0"/>
        </w:numPr>
        <w:snapToGrid w:val="0"/>
        <w:spacing w:before="180" w:beforeLines="50" w:after="60" w:line="288" w:lineRule="auto"/>
        <w:jc w:val="both"/>
        <w:rPr>
          <w:rFonts w:ascii="Times New Roman" w:hAnsi="Times New Roman"/>
          <w:i/>
          <w:iCs/>
          <w:sz w:val="20"/>
          <w:szCs w:val="20"/>
        </w:rPr>
      </w:pP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0"/>
    <w:bookmarkEnd w:id="11"/>
    <w:p>
      <w:pPr>
        <w:pStyle w:val="89"/>
        <w:numPr>
          <w:ilvl w:val="0"/>
          <w:numId w:val="25"/>
        </w:numPr>
        <w:snapToGrid w:val="0"/>
        <w:rPr>
          <w:bCs/>
          <w:sz w:val="20"/>
          <w:szCs w:val="20"/>
        </w:rPr>
      </w:pPr>
      <w:r>
        <w:rPr>
          <w:bCs/>
          <w:sz w:val="20"/>
          <w:szCs w:val="20"/>
        </w:rPr>
        <w:t>RP-22</w:t>
      </w:r>
      <w:r>
        <w:rPr>
          <w:rFonts w:hint="eastAsia"/>
          <w:bCs/>
          <w:sz w:val="20"/>
          <w:szCs w:val="20"/>
        </w:rPr>
        <w:t>3520</w:t>
      </w:r>
      <w:r>
        <w:rPr>
          <w:bCs/>
          <w:sz w:val="20"/>
          <w:szCs w:val="20"/>
        </w:rPr>
        <w:t>, Revised WID on Further NR mobility enhancements</w:t>
      </w:r>
      <w:r>
        <w:rPr>
          <w:rFonts w:hint="eastAsia"/>
          <w:bCs/>
          <w:sz w:val="20"/>
          <w:szCs w:val="20"/>
        </w:rPr>
        <w:t>,</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pPr>
        <w:pStyle w:val="89"/>
        <w:numPr>
          <w:ilvl w:val="0"/>
          <w:numId w:val="25"/>
        </w:numPr>
        <w:snapToGrid w:val="0"/>
        <w:rPr>
          <w:bCs/>
          <w:sz w:val="20"/>
          <w:szCs w:val="20"/>
        </w:rPr>
      </w:pPr>
      <w:r>
        <w:fldChar w:fldCharType="begin"/>
      </w:r>
      <w:r>
        <w:instrText xml:space="preserve"> HYPERLINK "https://www.3gpp.org/ftp/tsg_ran/WG1_RL1/TSGR1_110b-e/Report/Draft_Minutes_report_RAN1%23110b-e_v010.zip" </w:instrText>
      </w:r>
      <w:r>
        <w:fldChar w:fldCharType="separate"/>
      </w:r>
      <w:r>
        <w:rPr>
          <w:rFonts w:hint="eastAsia"/>
          <w:bCs/>
          <w:sz w:val="20"/>
          <w:szCs w:val="20"/>
        </w:rPr>
        <w:t>Draft_Minutes_report_RAN1#110b-e_v010</w:t>
      </w:r>
      <w:r>
        <w:rPr>
          <w:rFonts w:hint="eastAsia"/>
          <w:bCs/>
          <w:sz w:val="20"/>
          <w:szCs w:val="20"/>
        </w:rPr>
        <w:fldChar w:fldCharType="end"/>
      </w:r>
    </w:p>
    <w:p>
      <w:pPr>
        <w:pStyle w:val="89"/>
        <w:numPr>
          <w:ilvl w:val="0"/>
          <w:numId w:val="25"/>
        </w:numPr>
        <w:snapToGrid w:val="0"/>
        <w:rPr>
          <w:bCs/>
          <w:sz w:val="20"/>
          <w:szCs w:val="20"/>
        </w:rPr>
      </w:pPr>
      <w:r>
        <w:rPr>
          <w:rFonts w:hint="eastAsia"/>
          <w:bCs/>
          <w:sz w:val="20"/>
          <w:szCs w:val="20"/>
        </w:rPr>
        <w:t>Draft_Minutes_report_RAN1#111_v020</w:t>
      </w:r>
    </w:p>
    <w:p>
      <w:pPr>
        <w:pStyle w:val="89"/>
        <w:numPr>
          <w:ilvl w:val="0"/>
          <w:numId w:val="25"/>
        </w:numPr>
        <w:snapToGrid w:val="0"/>
        <w:rPr>
          <w:bCs/>
          <w:sz w:val="20"/>
          <w:szCs w:val="20"/>
        </w:rPr>
      </w:pPr>
      <w:r>
        <w:rPr>
          <w:rFonts w:hint="eastAsia"/>
          <w:bCs/>
          <w:sz w:val="20"/>
          <w:szCs w:val="20"/>
        </w:rPr>
        <w:t>Draft_R2_119bis-e_meeting_report_v1</w:t>
      </w:r>
    </w:p>
    <w:p>
      <w:pPr>
        <w:pStyle w:val="89"/>
        <w:numPr>
          <w:ilvl w:val="0"/>
          <w:numId w:val="25"/>
        </w:numPr>
        <w:snapToGrid w:val="0"/>
        <w:rPr>
          <w:bCs/>
          <w:sz w:val="20"/>
          <w:szCs w:val="20"/>
        </w:rPr>
      </w:pPr>
      <w:r>
        <w:rPr>
          <w:bCs/>
          <w:sz w:val="20"/>
          <w:szCs w:val="20"/>
        </w:rPr>
        <w:t>R2_119-e Chair Notes EOM</w:t>
      </w:r>
    </w:p>
    <w:p>
      <w:pPr>
        <w:pStyle w:val="89"/>
        <w:numPr>
          <w:ilvl w:val="0"/>
          <w:numId w:val="25"/>
        </w:numPr>
        <w:snapToGrid w:val="0"/>
        <w:rPr>
          <w:bCs/>
          <w:sz w:val="20"/>
          <w:szCs w:val="20"/>
        </w:rPr>
      </w:pPr>
      <w:r>
        <w:rPr>
          <w:rFonts w:hint="eastAsia"/>
          <w:bCs/>
          <w:sz w:val="20"/>
          <w:szCs w:val="20"/>
        </w:rPr>
        <w:fldChar w:fldCharType="begin"/>
      </w:r>
      <w:r>
        <w:rPr>
          <w:bCs/>
          <w:sz w:val="20"/>
          <w:szCs w:val="20"/>
        </w:rPr>
        <w:instrText xml:space="preserve"> HYPERLINK "https://www.3gpp.org/ftp/tsg_ran/WG2_RL2/TSGR2_120/Report/Draft_R2_120_meeting_report_v2.zip" </w:instrText>
      </w:r>
      <w:r>
        <w:rPr>
          <w:rFonts w:hint="eastAsia"/>
          <w:bCs/>
          <w:sz w:val="20"/>
          <w:szCs w:val="20"/>
        </w:rPr>
        <w:fldChar w:fldCharType="separate"/>
      </w:r>
      <w:r>
        <w:rPr>
          <w:rFonts w:hint="eastAsia"/>
          <w:bCs/>
          <w:sz w:val="20"/>
          <w:szCs w:val="20"/>
        </w:rPr>
        <w:t>Draft_R2_120_meeting_report_v2</w:t>
      </w:r>
      <w:r>
        <w:rPr>
          <w:rFonts w:hint="eastAsia"/>
          <w:bCs/>
          <w:sz w:val="20"/>
          <w:szCs w:val="20"/>
        </w:rPr>
        <w:fldChar w:fldCharType="end"/>
      </w:r>
    </w:p>
    <w:p>
      <w:pPr>
        <w:pStyle w:val="89"/>
        <w:numPr>
          <w:ilvl w:val="0"/>
          <w:numId w:val="25"/>
        </w:numPr>
        <w:snapToGrid w:val="0"/>
        <w:rPr>
          <w:bCs/>
          <w:sz w:val="20"/>
          <w:szCs w:val="20"/>
        </w:rPr>
      </w:pPr>
      <w:r>
        <w:rPr>
          <w:bCs/>
          <w:sz w:val="20"/>
          <w:szCs w:val="20"/>
        </w:rPr>
        <w:t>R1-2</w:t>
      </w:r>
      <w:r>
        <w:rPr>
          <w:rFonts w:hint="eastAsia"/>
          <w:bCs/>
          <w:sz w:val="20"/>
          <w:szCs w:val="20"/>
        </w:rPr>
        <w:t>300189,</w:t>
      </w:r>
      <w:r>
        <w:rPr>
          <w:bCs/>
          <w:sz w:val="20"/>
          <w:szCs w:val="20"/>
        </w:rPr>
        <w:t xml:space="preserve"> Enhancements on TA management to reduce latency</w:t>
      </w:r>
      <w:r>
        <w:rPr>
          <w:rFonts w:hint="eastAsia"/>
          <w:bCs/>
          <w:sz w:val="20"/>
          <w:szCs w:val="20"/>
        </w:rPr>
        <w:t>, ZTE</w:t>
      </w:r>
    </w:p>
    <w:p>
      <w:pPr>
        <w:pStyle w:val="89"/>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A8AC8"/>
    <w:multiLevelType w:val="singleLevel"/>
    <w:tmpl w:val="8FBA8AC8"/>
    <w:lvl w:ilvl="0" w:tentative="0">
      <w:start w:val="1"/>
      <w:numFmt w:val="bullet"/>
      <w:lvlText w:val=""/>
      <w:lvlJc w:val="left"/>
      <w:pPr>
        <w:ind w:left="420" w:hanging="420"/>
      </w:pPr>
      <w:rPr>
        <w:rFonts w:hint="default" w:ascii="Wingdings" w:hAnsi="Wingdings"/>
      </w:rPr>
    </w:lvl>
  </w:abstractNum>
  <w:abstractNum w:abstractNumId="1">
    <w:nsid w:val="98783823"/>
    <w:multiLevelType w:val="singleLevel"/>
    <w:tmpl w:val="98783823"/>
    <w:lvl w:ilvl="0" w:tentative="0">
      <w:start w:val="1"/>
      <w:numFmt w:val="bullet"/>
      <w:lvlText w:val="-"/>
      <w:lvlJc w:val="left"/>
      <w:pPr>
        <w:ind w:left="420" w:hanging="420"/>
      </w:pPr>
      <w:rPr>
        <w:rFonts w:hint="default" w:ascii="宋体" w:hAnsi="宋体" w:eastAsia="宋体" w:cs="宋体"/>
      </w:rPr>
    </w:lvl>
  </w:abstractNum>
  <w:abstractNum w:abstractNumId="2">
    <w:nsid w:val="B026F323"/>
    <w:multiLevelType w:val="singleLevel"/>
    <w:tmpl w:val="B026F323"/>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3">
    <w:nsid w:val="B3C899D7"/>
    <w:multiLevelType w:val="singleLevel"/>
    <w:tmpl w:val="B3C899D7"/>
    <w:lvl w:ilvl="0" w:tentative="0">
      <w:start w:val="1"/>
      <w:numFmt w:val="bullet"/>
      <w:lvlText w:val="­"/>
      <w:lvlJc w:val="left"/>
      <w:pPr>
        <w:ind w:left="420" w:hanging="420"/>
      </w:pPr>
      <w:rPr>
        <w:rFonts w:hint="default" w:ascii="宋体" w:hAnsi="宋体" w:eastAsia="宋体" w:cs="宋体"/>
      </w:rPr>
    </w:lvl>
  </w:abstractNum>
  <w:abstractNum w:abstractNumId="4">
    <w:nsid w:val="B4F920BE"/>
    <w:multiLevelType w:val="singleLevel"/>
    <w:tmpl w:val="B4F920BE"/>
    <w:lvl w:ilvl="0" w:tentative="0">
      <w:start w:val="1"/>
      <w:numFmt w:val="bullet"/>
      <w:lvlText w:val="­"/>
      <w:lvlJc w:val="left"/>
      <w:pPr>
        <w:ind w:left="420" w:hanging="420"/>
      </w:pPr>
      <w:rPr>
        <w:rFonts w:hint="default" w:ascii="宋体" w:hAnsi="宋体" w:eastAsia="宋体" w:cs="宋体"/>
      </w:rPr>
    </w:lvl>
  </w:abstractNum>
  <w:abstractNum w:abstractNumId="5">
    <w:nsid w:val="B651108D"/>
    <w:multiLevelType w:val="multilevel"/>
    <w:tmpl w:val="B65110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B95EF0BE"/>
    <w:multiLevelType w:val="multilevel"/>
    <w:tmpl w:val="B95EF0BE"/>
    <w:lvl w:ilvl="0" w:tentative="0">
      <w:start w:val="1"/>
      <w:numFmt w:val="bullet"/>
      <w:lvlText w:val="-"/>
      <w:lvlJc w:val="left"/>
      <w:pPr>
        <w:ind w:left="420" w:hanging="420"/>
      </w:pPr>
      <w:rPr>
        <w:rFonts w:hint="default" w:ascii="宋体" w:hAnsi="宋体" w:eastAsia="宋体" w:cs="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C1E7E444"/>
    <w:multiLevelType w:val="multilevel"/>
    <w:tmpl w:val="C1E7E4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F80208CB"/>
    <w:multiLevelType w:val="singleLevel"/>
    <w:tmpl w:val="F80208CB"/>
    <w:lvl w:ilvl="0" w:tentative="0">
      <w:start w:val="1"/>
      <w:numFmt w:val="bullet"/>
      <w:lvlText w:val=""/>
      <w:lvlJc w:val="left"/>
      <w:pPr>
        <w:tabs>
          <w:tab w:val="left" w:pos="420"/>
        </w:tabs>
        <w:ind w:left="840" w:hanging="420"/>
      </w:pPr>
      <w:rPr>
        <w:rFonts w:hint="default" w:ascii="Wingdings" w:hAnsi="Wingdings"/>
      </w:rPr>
    </w:lvl>
  </w:abstractNum>
  <w:abstractNum w:abstractNumId="10">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1">
    <w:nsid w:val="1AC65095"/>
    <w:multiLevelType w:val="multilevel"/>
    <w:tmpl w:val="1AC65095"/>
    <w:lvl w:ilvl="0" w:tentative="0">
      <w:start w:val="0"/>
      <w:numFmt w:val="bullet"/>
      <w:lvlText w:val="-"/>
      <w:lvlJc w:val="left"/>
      <w:pPr>
        <w:ind w:left="360" w:hanging="360"/>
      </w:pPr>
      <w:rPr>
        <w:rFonts w:hint="default" w:ascii="Times New Roman" w:hAnsi="Times New Roman" w:eastAsia="MS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CD71883"/>
    <w:multiLevelType w:val="multilevel"/>
    <w:tmpl w:val="1CD71883"/>
    <w:lvl w:ilvl="0" w:tentative="0">
      <w:start w:val="1"/>
      <w:numFmt w:val="decimal"/>
      <w:pStyle w:val="123"/>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0D7B6A4"/>
    <w:multiLevelType w:val="singleLevel"/>
    <w:tmpl w:val="30D7B6A4"/>
    <w:lvl w:ilvl="0" w:tentative="0">
      <w:start w:val="1"/>
      <w:numFmt w:val="bullet"/>
      <w:lvlText w:val="-"/>
      <w:lvlJc w:val="left"/>
      <w:pPr>
        <w:ind w:left="420" w:hanging="420"/>
      </w:pPr>
      <w:rPr>
        <w:rFonts w:hint="default" w:ascii="宋体" w:hAnsi="宋体" w:eastAsia="宋体" w:cs="宋体"/>
      </w:rPr>
    </w:lvl>
  </w:abstractNum>
  <w:abstractNum w:abstractNumId="14">
    <w:nsid w:val="3B81CF0F"/>
    <w:multiLevelType w:val="singleLevel"/>
    <w:tmpl w:val="3B81CF0F"/>
    <w:lvl w:ilvl="0" w:tentative="0">
      <w:start w:val="1"/>
      <w:numFmt w:val="bullet"/>
      <w:lvlText w:val="­"/>
      <w:lvlJc w:val="left"/>
      <w:pPr>
        <w:ind w:left="420" w:hanging="420"/>
      </w:pPr>
      <w:rPr>
        <w:rFonts w:hint="default" w:ascii="宋体" w:hAnsi="宋体" w:eastAsia="宋体" w:cs="宋体"/>
      </w:rPr>
    </w:lvl>
  </w:abstractNum>
  <w:abstractNum w:abstractNumId="15">
    <w:nsid w:val="423A9A0C"/>
    <w:multiLevelType w:val="singleLevel"/>
    <w:tmpl w:val="423A9A0C"/>
    <w:lvl w:ilvl="0" w:tentative="0">
      <w:start w:val="1"/>
      <w:numFmt w:val="bullet"/>
      <w:lvlText w:val="-"/>
      <w:lvlJc w:val="left"/>
      <w:pPr>
        <w:ind w:left="420" w:hanging="420"/>
      </w:pPr>
      <w:rPr>
        <w:rFonts w:hint="default" w:ascii="宋体" w:hAnsi="宋体" w:eastAsia="宋体" w:cs="宋体"/>
      </w:rPr>
    </w:lvl>
  </w:abstractNum>
  <w:abstractNum w:abstractNumId="16">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C403C4"/>
    <w:multiLevelType w:val="multilevel"/>
    <w:tmpl w:val="51C403C4"/>
    <w:lvl w:ilvl="0" w:tentative="0">
      <w:start w:val="1"/>
      <w:numFmt w:val="decimal"/>
      <w:lvlText w:val="%1."/>
      <w:lvlJc w:val="left"/>
      <w:pPr>
        <w:ind w:left="580" w:hanging="360"/>
      </w:pPr>
      <w:rPr>
        <w:rFonts w:hint="default"/>
      </w:rPr>
    </w:lvl>
    <w:lvl w:ilvl="1" w:tentative="0">
      <w:start w:val="1"/>
      <w:numFmt w:val="bullet"/>
      <w:lvlText w:val="o"/>
      <w:lvlJc w:val="left"/>
      <w:pPr>
        <w:ind w:left="1060" w:hanging="420"/>
      </w:pPr>
      <w:rPr>
        <w:rFonts w:hint="default" w:ascii="Courier New" w:hAnsi="Courier New"/>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lowerLetter"/>
      <w:lvlText w:val="%5)"/>
      <w:lvlJc w:val="left"/>
      <w:pPr>
        <w:ind w:left="2320" w:hanging="420"/>
      </w:pPr>
    </w:lvl>
    <w:lvl w:ilvl="5" w:tentative="0">
      <w:start w:val="1"/>
      <w:numFmt w:val="lowerRoman"/>
      <w:lvlText w:val="%6."/>
      <w:lvlJc w:val="right"/>
      <w:pPr>
        <w:ind w:left="2740" w:hanging="420"/>
      </w:pPr>
    </w:lvl>
    <w:lvl w:ilvl="6" w:tentative="0">
      <w:start w:val="1"/>
      <w:numFmt w:val="decimal"/>
      <w:lvlText w:val="%7."/>
      <w:lvlJc w:val="left"/>
      <w:pPr>
        <w:ind w:left="3160" w:hanging="420"/>
      </w:pPr>
    </w:lvl>
    <w:lvl w:ilvl="7" w:tentative="0">
      <w:start w:val="1"/>
      <w:numFmt w:val="lowerLetter"/>
      <w:lvlText w:val="%8)"/>
      <w:lvlJc w:val="left"/>
      <w:pPr>
        <w:ind w:left="3580" w:hanging="420"/>
      </w:pPr>
    </w:lvl>
    <w:lvl w:ilvl="8" w:tentative="0">
      <w:start w:val="1"/>
      <w:numFmt w:val="lowerRoman"/>
      <w:lvlText w:val="%9."/>
      <w:lvlJc w:val="right"/>
      <w:pPr>
        <w:ind w:left="4000" w:hanging="420"/>
      </w:pPr>
    </w:lvl>
  </w:abstractNum>
  <w:abstractNum w:abstractNumId="18">
    <w:nsid w:val="5496E6C0"/>
    <w:multiLevelType w:val="singleLevel"/>
    <w:tmpl w:val="5496E6C0"/>
    <w:lvl w:ilvl="0" w:tentative="0">
      <w:start w:val="1"/>
      <w:numFmt w:val="bullet"/>
      <w:lvlText w:val=""/>
      <w:lvlJc w:val="left"/>
      <w:pPr>
        <w:ind w:left="420" w:hanging="420"/>
      </w:pPr>
      <w:rPr>
        <w:rFonts w:hint="default" w:ascii="Wingdings" w:hAnsi="Wingdings"/>
      </w:rPr>
    </w:lvl>
  </w:abstractNum>
  <w:abstractNum w:abstractNumId="19">
    <w:nsid w:val="596AEE8A"/>
    <w:multiLevelType w:val="singleLevel"/>
    <w:tmpl w:val="596AEE8A"/>
    <w:lvl w:ilvl="0" w:tentative="0">
      <w:start w:val="1"/>
      <w:numFmt w:val="bullet"/>
      <w:lvlText w:val=""/>
      <w:lvlJc w:val="left"/>
      <w:pPr>
        <w:ind w:left="420" w:hanging="420"/>
      </w:pPr>
      <w:rPr>
        <w:rFonts w:hint="default" w:ascii="Wingdings" w:hAnsi="Wingdings"/>
      </w:rPr>
    </w:lvl>
  </w:abstractNum>
  <w:abstractNum w:abstractNumId="20">
    <w:nsid w:val="5E93823A"/>
    <w:multiLevelType w:val="singleLevel"/>
    <w:tmpl w:val="5E93823A"/>
    <w:lvl w:ilvl="0" w:tentative="0">
      <w:start w:val="1"/>
      <w:numFmt w:val="decimal"/>
      <w:suff w:val="space"/>
      <w:lvlText w:val="[%1]"/>
      <w:lvlJc w:val="left"/>
    </w:lvl>
  </w:abstractNum>
  <w:abstractNum w:abstractNumId="21">
    <w:nsid w:val="6361BA49"/>
    <w:multiLevelType w:val="singleLevel"/>
    <w:tmpl w:val="6361BA49"/>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22">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70146DC0"/>
    <w:multiLevelType w:val="multilevel"/>
    <w:tmpl w:val="70146DC0"/>
    <w:lvl w:ilvl="0" w:tentative="0">
      <w:start w:val="1"/>
      <w:numFmt w:val="bullet"/>
      <w:lvlText w:val=""/>
      <w:lvlJc w:val="left"/>
      <w:pPr>
        <w:tabs>
          <w:tab w:val="left" w:pos="-3602"/>
        </w:tabs>
        <w:ind w:left="-4880" w:hanging="360"/>
      </w:pPr>
      <w:rPr>
        <w:rFonts w:hint="default" w:ascii="Symbol" w:hAnsi="Symbol"/>
        <w:b/>
        <w:i w:val="0"/>
        <w:color w:val="auto"/>
        <w:sz w:val="22"/>
      </w:rPr>
    </w:lvl>
    <w:lvl w:ilvl="1" w:tentative="0">
      <w:start w:val="1"/>
      <w:numFmt w:val="bullet"/>
      <w:lvlText w:val="o"/>
      <w:lvlJc w:val="left"/>
      <w:pPr>
        <w:tabs>
          <w:tab w:val="left" w:pos="-9362"/>
        </w:tabs>
        <w:ind w:left="-10620" w:hanging="360"/>
      </w:pPr>
      <w:rPr>
        <w:rFonts w:hint="default" w:ascii="Courier New" w:hAnsi="Courier New" w:cs="Courier New"/>
      </w:rPr>
    </w:lvl>
    <w:lvl w:ilvl="2" w:tentative="0">
      <w:start w:val="1"/>
      <w:numFmt w:val="bullet"/>
      <w:lvlText w:val=""/>
      <w:lvlJc w:val="left"/>
      <w:pPr>
        <w:tabs>
          <w:tab w:val="left" w:pos="-8642"/>
        </w:tabs>
        <w:ind w:left="-9900" w:hanging="360"/>
      </w:pPr>
      <w:rPr>
        <w:rFonts w:hint="default" w:ascii="Wingdings" w:hAnsi="Wingdings"/>
      </w:rPr>
    </w:lvl>
    <w:lvl w:ilvl="3" w:tentative="0">
      <w:start w:val="1"/>
      <w:numFmt w:val="bullet"/>
      <w:lvlText w:val=""/>
      <w:lvlJc w:val="left"/>
      <w:pPr>
        <w:tabs>
          <w:tab w:val="left" w:pos="-7922"/>
        </w:tabs>
        <w:ind w:left="-9180" w:hanging="360"/>
      </w:pPr>
      <w:rPr>
        <w:rFonts w:hint="default" w:ascii="Symbol" w:hAnsi="Symbol"/>
      </w:rPr>
    </w:lvl>
    <w:lvl w:ilvl="4" w:tentative="0">
      <w:start w:val="1"/>
      <w:numFmt w:val="bullet"/>
      <w:lvlText w:val="o"/>
      <w:lvlJc w:val="left"/>
      <w:pPr>
        <w:tabs>
          <w:tab w:val="left" w:pos="-7202"/>
        </w:tabs>
        <w:ind w:left="-8460" w:hanging="360"/>
      </w:pPr>
      <w:rPr>
        <w:rFonts w:hint="default" w:ascii="Courier New" w:hAnsi="Courier New" w:cs="Courier New"/>
      </w:rPr>
    </w:lvl>
    <w:lvl w:ilvl="5" w:tentative="0">
      <w:start w:val="1"/>
      <w:numFmt w:val="bullet"/>
      <w:lvlText w:val=""/>
      <w:lvlJc w:val="left"/>
      <w:pPr>
        <w:tabs>
          <w:tab w:val="left" w:pos="-6482"/>
        </w:tabs>
        <w:ind w:left="-7740" w:hanging="360"/>
      </w:pPr>
      <w:rPr>
        <w:rFonts w:hint="default" w:ascii="Wingdings" w:hAnsi="Wingdings"/>
      </w:rPr>
    </w:lvl>
    <w:lvl w:ilvl="6" w:tentative="0">
      <w:start w:val="1"/>
      <w:numFmt w:val="bullet"/>
      <w:lvlText w:val=""/>
      <w:lvlJc w:val="left"/>
      <w:pPr>
        <w:tabs>
          <w:tab w:val="left" w:pos="-5762"/>
        </w:tabs>
        <w:ind w:left="-7020" w:hanging="360"/>
      </w:pPr>
      <w:rPr>
        <w:rFonts w:hint="default" w:ascii="Symbol" w:hAnsi="Symbol"/>
      </w:rPr>
    </w:lvl>
    <w:lvl w:ilvl="7" w:tentative="0">
      <w:start w:val="1"/>
      <w:numFmt w:val="bullet"/>
      <w:lvlText w:val="o"/>
      <w:lvlJc w:val="left"/>
      <w:pPr>
        <w:tabs>
          <w:tab w:val="left" w:pos="-5042"/>
        </w:tabs>
        <w:ind w:left="-6300" w:hanging="360"/>
      </w:pPr>
      <w:rPr>
        <w:rFonts w:hint="default" w:ascii="Courier New" w:hAnsi="Courier New" w:cs="Courier New"/>
      </w:rPr>
    </w:lvl>
    <w:lvl w:ilvl="8" w:tentative="0">
      <w:start w:val="1"/>
      <w:numFmt w:val="bullet"/>
      <w:lvlText w:val=""/>
      <w:lvlJc w:val="left"/>
      <w:pPr>
        <w:tabs>
          <w:tab w:val="left" w:pos="-4322"/>
        </w:tabs>
        <w:ind w:left="-5580" w:hanging="360"/>
      </w:pPr>
      <w:rPr>
        <w:rFonts w:hint="default" w:ascii="Wingdings" w:hAnsi="Wingdings"/>
      </w:rPr>
    </w:lvl>
  </w:abstractNum>
  <w:abstractNum w:abstractNumId="24">
    <w:nsid w:val="796D0DA0"/>
    <w:multiLevelType w:val="multilevel"/>
    <w:tmpl w:val="796D0DA0"/>
    <w:lvl w:ilvl="0" w:tentative="0">
      <w:start w:val="1"/>
      <w:numFmt w:val="bullet"/>
      <w:lvlText w:val=""/>
      <w:lvlJc w:val="left"/>
      <w:pPr>
        <w:tabs>
          <w:tab w:val="left" w:pos="339"/>
        </w:tabs>
        <w:ind w:left="-541" w:hanging="360"/>
      </w:pPr>
      <w:rPr>
        <w:rFonts w:hint="default" w:ascii="Symbol" w:hAnsi="Symbol"/>
        <w:b/>
        <w:i w:val="0"/>
        <w:sz w:val="22"/>
        <w:szCs w:val="22"/>
      </w:rPr>
    </w:lvl>
    <w:lvl w:ilvl="1" w:tentative="0">
      <w:start w:val="1"/>
      <w:numFmt w:val="bullet"/>
      <w:lvlText w:val="o"/>
      <w:lvlJc w:val="left"/>
      <w:pPr>
        <w:tabs>
          <w:tab w:val="left" w:pos="160"/>
        </w:tabs>
        <w:ind w:left="-720" w:hanging="360"/>
      </w:pPr>
      <w:rPr>
        <w:rFonts w:hint="default" w:ascii="Courier New" w:hAnsi="Courier New" w:cs="Courier New"/>
      </w:rPr>
    </w:lvl>
    <w:lvl w:ilvl="2" w:tentative="0">
      <w:start w:val="1"/>
      <w:numFmt w:val="bullet"/>
      <w:lvlText w:val=""/>
      <w:lvlJc w:val="left"/>
      <w:pPr>
        <w:tabs>
          <w:tab w:val="left" w:pos="880"/>
        </w:tabs>
        <w:ind w:left="0" w:hanging="360"/>
      </w:pPr>
      <w:rPr>
        <w:rFonts w:hint="default" w:ascii="Wingdings" w:hAnsi="Wingdings"/>
      </w:rPr>
    </w:lvl>
    <w:lvl w:ilvl="3" w:tentative="0">
      <w:start w:val="1"/>
      <w:numFmt w:val="bullet"/>
      <w:lvlText w:val=""/>
      <w:lvlJc w:val="left"/>
      <w:pPr>
        <w:tabs>
          <w:tab w:val="left" w:pos="1600"/>
        </w:tabs>
        <w:ind w:left="720" w:hanging="360"/>
      </w:pPr>
      <w:rPr>
        <w:rFonts w:hint="default" w:ascii="Symbol" w:hAnsi="Symbol"/>
      </w:rPr>
    </w:lvl>
    <w:lvl w:ilvl="4" w:tentative="0">
      <w:start w:val="1"/>
      <w:numFmt w:val="bullet"/>
      <w:lvlText w:val="o"/>
      <w:lvlJc w:val="left"/>
      <w:pPr>
        <w:tabs>
          <w:tab w:val="left" w:pos="2320"/>
        </w:tabs>
        <w:ind w:left="1440" w:hanging="360"/>
      </w:pPr>
      <w:rPr>
        <w:rFonts w:hint="default" w:ascii="Courier New" w:hAnsi="Courier New" w:cs="Courier New"/>
      </w:rPr>
    </w:lvl>
    <w:lvl w:ilvl="5" w:tentative="0">
      <w:start w:val="1"/>
      <w:numFmt w:val="bullet"/>
      <w:lvlText w:val=""/>
      <w:lvlJc w:val="left"/>
      <w:pPr>
        <w:tabs>
          <w:tab w:val="left" w:pos="3040"/>
        </w:tabs>
        <w:ind w:left="2160" w:hanging="360"/>
      </w:pPr>
      <w:rPr>
        <w:rFonts w:hint="default" w:ascii="Wingdings" w:hAnsi="Wingdings"/>
      </w:rPr>
    </w:lvl>
    <w:lvl w:ilvl="6" w:tentative="0">
      <w:start w:val="1"/>
      <w:numFmt w:val="bullet"/>
      <w:lvlText w:val=""/>
      <w:lvlJc w:val="left"/>
      <w:pPr>
        <w:tabs>
          <w:tab w:val="left" w:pos="3760"/>
        </w:tabs>
        <w:ind w:left="2880" w:hanging="360"/>
      </w:pPr>
      <w:rPr>
        <w:rFonts w:hint="default" w:ascii="Symbol" w:hAnsi="Symbol"/>
      </w:rPr>
    </w:lvl>
    <w:lvl w:ilvl="7" w:tentative="0">
      <w:start w:val="1"/>
      <w:numFmt w:val="bullet"/>
      <w:lvlText w:val="o"/>
      <w:lvlJc w:val="left"/>
      <w:pPr>
        <w:tabs>
          <w:tab w:val="left" w:pos="4480"/>
        </w:tabs>
        <w:ind w:left="3600" w:hanging="360"/>
      </w:pPr>
      <w:rPr>
        <w:rFonts w:hint="default" w:ascii="Courier New" w:hAnsi="Courier New" w:cs="Courier New"/>
      </w:rPr>
    </w:lvl>
    <w:lvl w:ilvl="8" w:tentative="0">
      <w:start w:val="1"/>
      <w:numFmt w:val="bullet"/>
      <w:lvlText w:val=""/>
      <w:lvlJc w:val="left"/>
      <w:pPr>
        <w:tabs>
          <w:tab w:val="left" w:pos="5200"/>
        </w:tabs>
        <w:ind w:left="4320" w:hanging="360"/>
      </w:pPr>
      <w:rPr>
        <w:rFonts w:hint="default" w:ascii="Wingdings" w:hAnsi="Wingdings"/>
      </w:rPr>
    </w:lvl>
  </w:abstractNum>
  <w:num w:numId="1">
    <w:abstractNumId w:val="8"/>
  </w:num>
  <w:num w:numId="2">
    <w:abstractNumId w:val="16"/>
  </w:num>
  <w:num w:numId="3">
    <w:abstractNumId w:val="12"/>
  </w:num>
  <w:num w:numId="4">
    <w:abstractNumId w:val="17"/>
  </w:num>
  <w:num w:numId="5">
    <w:abstractNumId w:val="10"/>
  </w:num>
  <w:num w:numId="6">
    <w:abstractNumId w:val="22"/>
  </w:num>
  <w:num w:numId="7">
    <w:abstractNumId w:val="11"/>
  </w:num>
  <w:num w:numId="8">
    <w:abstractNumId w:val="23"/>
  </w:num>
  <w:num w:numId="9">
    <w:abstractNumId w:val="1"/>
  </w:num>
  <w:num w:numId="10">
    <w:abstractNumId w:val="0"/>
  </w:num>
  <w:num w:numId="11">
    <w:abstractNumId w:val="21"/>
  </w:num>
  <w:num w:numId="12">
    <w:abstractNumId w:val="5"/>
  </w:num>
  <w:num w:numId="13">
    <w:abstractNumId w:val="13"/>
  </w:num>
  <w:num w:numId="14">
    <w:abstractNumId w:val="9"/>
  </w:num>
  <w:num w:numId="15">
    <w:abstractNumId w:val="7"/>
  </w:num>
  <w:num w:numId="16">
    <w:abstractNumId w:val="2"/>
  </w:num>
  <w:num w:numId="17">
    <w:abstractNumId w:val="19"/>
  </w:num>
  <w:num w:numId="18">
    <w:abstractNumId w:val="3"/>
  </w:num>
  <w:num w:numId="19">
    <w:abstractNumId w:val="6"/>
  </w:num>
  <w:num w:numId="20">
    <w:abstractNumId w:val="18"/>
  </w:num>
  <w:num w:numId="21">
    <w:abstractNumId w:val="14"/>
  </w:num>
  <w:num w:numId="22">
    <w:abstractNumId w:val="4"/>
  </w:num>
  <w:num w:numId="23">
    <w:abstractNumId w:val="24"/>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4CE"/>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481"/>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EE3"/>
    <w:rsid w:val="00FC4FE2"/>
    <w:rsid w:val="00FC52D4"/>
    <w:rsid w:val="00FC579B"/>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B76D9"/>
    <w:rsid w:val="012E3D59"/>
    <w:rsid w:val="012E78A0"/>
    <w:rsid w:val="01312F4E"/>
    <w:rsid w:val="0132297F"/>
    <w:rsid w:val="013340AD"/>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F7662"/>
    <w:rsid w:val="01900C09"/>
    <w:rsid w:val="01942B77"/>
    <w:rsid w:val="019B60BC"/>
    <w:rsid w:val="019D62DE"/>
    <w:rsid w:val="019F2AB2"/>
    <w:rsid w:val="01A06E68"/>
    <w:rsid w:val="01A17E36"/>
    <w:rsid w:val="01A30E00"/>
    <w:rsid w:val="01A761C0"/>
    <w:rsid w:val="01A96AA0"/>
    <w:rsid w:val="01AA0986"/>
    <w:rsid w:val="01B749D8"/>
    <w:rsid w:val="01B76788"/>
    <w:rsid w:val="01B91B37"/>
    <w:rsid w:val="01C45A13"/>
    <w:rsid w:val="01C55F33"/>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91846"/>
    <w:rsid w:val="02AA0975"/>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A0E35"/>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F2552"/>
    <w:rsid w:val="069142D7"/>
    <w:rsid w:val="069154D1"/>
    <w:rsid w:val="069202AE"/>
    <w:rsid w:val="06973A22"/>
    <w:rsid w:val="06981F06"/>
    <w:rsid w:val="069A134E"/>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827CC"/>
    <w:rsid w:val="06BD4549"/>
    <w:rsid w:val="06BF4E14"/>
    <w:rsid w:val="06C16B51"/>
    <w:rsid w:val="06C40DFB"/>
    <w:rsid w:val="06C648B1"/>
    <w:rsid w:val="06C65E76"/>
    <w:rsid w:val="06CC0115"/>
    <w:rsid w:val="06CF35BD"/>
    <w:rsid w:val="06D42797"/>
    <w:rsid w:val="06D51C0F"/>
    <w:rsid w:val="06D87E0E"/>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5DD2"/>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65E04"/>
    <w:rsid w:val="074D0D08"/>
    <w:rsid w:val="074D4B97"/>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E12A07"/>
    <w:rsid w:val="07E7227A"/>
    <w:rsid w:val="07E80F0B"/>
    <w:rsid w:val="07E85037"/>
    <w:rsid w:val="07E9276D"/>
    <w:rsid w:val="07E9446A"/>
    <w:rsid w:val="07EA3399"/>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033"/>
    <w:rsid w:val="082325E8"/>
    <w:rsid w:val="08272A1D"/>
    <w:rsid w:val="08284248"/>
    <w:rsid w:val="08284F7F"/>
    <w:rsid w:val="08285AE5"/>
    <w:rsid w:val="082D3394"/>
    <w:rsid w:val="083058E9"/>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222E5"/>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53D7D"/>
    <w:rsid w:val="09A73842"/>
    <w:rsid w:val="09AF512E"/>
    <w:rsid w:val="09B37BE6"/>
    <w:rsid w:val="09B414C1"/>
    <w:rsid w:val="09B64FB7"/>
    <w:rsid w:val="09B70488"/>
    <w:rsid w:val="09B73E57"/>
    <w:rsid w:val="09B85A9D"/>
    <w:rsid w:val="09BE27FD"/>
    <w:rsid w:val="09C22F64"/>
    <w:rsid w:val="09C447FF"/>
    <w:rsid w:val="09CC28AA"/>
    <w:rsid w:val="09CC48D3"/>
    <w:rsid w:val="09D00614"/>
    <w:rsid w:val="09D867C7"/>
    <w:rsid w:val="09D91C63"/>
    <w:rsid w:val="09DA2E15"/>
    <w:rsid w:val="09DC6D7F"/>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24687"/>
    <w:rsid w:val="0AA605E9"/>
    <w:rsid w:val="0AA77E52"/>
    <w:rsid w:val="0AA85249"/>
    <w:rsid w:val="0AA906FE"/>
    <w:rsid w:val="0AAC6E49"/>
    <w:rsid w:val="0AAD70F7"/>
    <w:rsid w:val="0AB10F07"/>
    <w:rsid w:val="0AB562EB"/>
    <w:rsid w:val="0ABA041A"/>
    <w:rsid w:val="0ABA1F3B"/>
    <w:rsid w:val="0ABA68E4"/>
    <w:rsid w:val="0ABF3741"/>
    <w:rsid w:val="0AC413CC"/>
    <w:rsid w:val="0AC663BC"/>
    <w:rsid w:val="0AC93290"/>
    <w:rsid w:val="0AC93C0A"/>
    <w:rsid w:val="0AC97E3D"/>
    <w:rsid w:val="0ACA3A43"/>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9254A"/>
    <w:rsid w:val="0AFB4861"/>
    <w:rsid w:val="0AFD1EB9"/>
    <w:rsid w:val="0AFE08A2"/>
    <w:rsid w:val="0AFE5D66"/>
    <w:rsid w:val="0AFF1F70"/>
    <w:rsid w:val="0B042734"/>
    <w:rsid w:val="0B0E13D6"/>
    <w:rsid w:val="0B0F2142"/>
    <w:rsid w:val="0B105049"/>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A6A06"/>
    <w:rsid w:val="0B8B3A3B"/>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B02950"/>
    <w:rsid w:val="0CB16EF4"/>
    <w:rsid w:val="0CB3536D"/>
    <w:rsid w:val="0CB44466"/>
    <w:rsid w:val="0CB56BB5"/>
    <w:rsid w:val="0CB6695E"/>
    <w:rsid w:val="0CB87B2B"/>
    <w:rsid w:val="0CBE10B4"/>
    <w:rsid w:val="0CBF3DD1"/>
    <w:rsid w:val="0CBF4267"/>
    <w:rsid w:val="0CCD0BC1"/>
    <w:rsid w:val="0CCE5EB0"/>
    <w:rsid w:val="0CCF0AA2"/>
    <w:rsid w:val="0CD046CA"/>
    <w:rsid w:val="0CD21CB7"/>
    <w:rsid w:val="0CD624D0"/>
    <w:rsid w:val="0CD941A2"/>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7AFD"/>
    <w:rsid w:val="0D15028B"/>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D30D9"/>
    <w:rsid w:val="0FCE401C"/>
    <w:rsid w:val="0FCF6F78"/>
    <w:rsid w:val="0FD0761B"/>
    <w:rsid w:val="0FD20A54"/>
    <w:rsid w:val="0FDC7CA9"/>
    <w:rsid w:val="0FDD64B4"/>
    <w:rsid w:val="0FDF2015"/>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9E3769"/>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3B78"/>
    <w:rsid w:val="12094E47"/>
    <w:rsid w:val="120A16E2"/>
    <w:rsid w:val="12117961"/>
    <w:rsid w:val="1212107A"/>
    <w:rsid w:val="1212335C"/>
    <w:rsid w:val="121D1758"/>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774E"/>
    <w:rsid w:val="135A55B0"/>
    <w:rsid w:val="135C41A2"/>
    <w:rsid w:val="135D0726"/>
    <w:rsid w:val="135D36C3"/>
    <w:rsid w:val="1363772A"/>
    <w:rsid w:val="13645B2A"/>
    <w:rsid w:val="13646D5E"/>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E1718"/>
    <w:rsid w:val="142E29A9"/>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247C1"/>
    <w:rsid w:val="15E4589D"/>
    <w:rsid w:val="15E50588"/>
    <w:rsid w:val="15E577C7"/>
    <w:rsid w:val="15E821F0"/>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223FCC"/>
    <w:rsid w:val="16293050"/>
    <w:rsid w:val="16314558"/>
    <w:rsid w:val="16317180"/>
    <w:rsid w:val="16324B34"/>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966AD"/>
    <w:rsid w:val="17DE3E4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0076"/>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46D9A"/>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C2870"/>
    <w:rsid w:val="1BAD3EDE"/>
    <w:rsid w:val="1BAD765D"/>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75B97"/>
    <w:rsid w:val="1CB84ED0"/>
    <w:rsid w:val="1CBC1FFD"/>
    <w:rsid w:val="1CBD037E"/>
    <w:rsid w:val="1CC22612"/>
    <w:rsid w:val="1CC448CE"/>
    <w:rsid w:val="1CCB2C88"/>
    <w:rsid w:val="1CCB3CE4"/>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72ED8"/>
    <w:rsid w:val="1DD81C48"/>
    <w:rsid w:val="1DD95E1B"/>
    <w:rsid w:val="1DE071F3"/>
    <w:rsid w:val="1DE25A01"/>
    <w:rsid w:val="1DE75947"/>
    <w:rsid w:val="1DE83579"/>
    <w:rsid w:val="1DED220F"/>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51FFC"/>
    <w:rsid w:val="1EA96187"/>
    <w:rsid w:val="1EAD1197"/>
    <w:rsid w:val="1EAD4715"/>
    <w:rsid w:val="1EB0609A"/>
    <w:rsid w:val="1EB43275"/>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5501C"/>
    <w:rsid w:val="203971E9"/>
    <w:rsid w:val="203B3BA6"/>
    <w:rsid w:val="203B7C01"/>
    <w:rsid w:val="203D5472"/>
    <w:rsid w:val="203F1315"/>
    <w:rsid w:val="20412211"/>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916D3"/>
    <w:rsid w:val="208C58CE"/>
    <w:rsid w:val="208D42FB"/>
    <w:rsid w:val="208E570E"/>
    <w:rsid w:val="2092239D"/>
    <w:rsid w:val="2097749D"/>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D3C5B"/>
    <w:rsid w:val="214E5B11"/>
    <w:rsid w:val="21513527"/>
    <w:rsid w:val="21516AF2"/>
    <w:rsid w:val="21517EE6"/>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D0C21"/>
    <w:rsid w:val="226F2BB2"/>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350AE"/>
    <w:rsid w:val="23DA4E5D"/>
    <w:rsid w:val="23DC78BC"/>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D7FD5"/>
    <w:rsid w:val="26725883"/>
    <w:rsid w:val="267263C1"/>
    <w:rsid w:val="26737526"/>
    <w:rsid w:val="26744EA0"/>
    <w:rsid w:val="267B0FCE"/>
    <w:rsid w:val="267B6EC2"/>
    <w:rsid w:val="267E2BF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62980"/>
    <w:rsid w:val="26D82E82"/>
    <w:rsid w:val="26D9017F"/>
    <w:rsid w:val="26E45D21"/>
    <w:rsid w:val="26E85826"/>
    <w:rsid w:val="26EF797D"/>
    <w:rsid w:val="26F0116E"/>
    <w:rsid w:val="26F104CD"/>
    <w:rsid w:val="26F563B7"/>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C47FF"/>
    <w:rsid w:val="277130B1"/>
    <w:rsid w:val="277153F5"/>
    <w:rsid w:val="277364C9"/>
    <w:rsid w:val="277605D3"/>
    <w:rsid w:val="277973C8"/>
    <w:rsid w:val="277B5ECB"/>
    <w:rsid w:val="277C2691"/>
    <w:rsid w:val="277D0164"/>
    <w:rsid w:val="2781273A"/>
    <w:rsid w:val="27880564"/>
    <w:rsid w:val="27883D7D"/>
    <w:rsid w:val="27884AE3"/>
    <w:rsid w:val="27885CEA"/>
    <w:rsid w:val="27886658"/>
    <w:rsid w:val="278C4BFF"/>
    <w:rsid w:val="278E5245"/>
    <w:rsid w:val="279025EE"/>
    <w:rsid w:val="279131DA"/>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C147D"/>
    <w:rsid w:val="285D6C2F"/>
    <w:rsid w:val="285F5E1D"/>
    <w:rsid w:val="285F76B9"/>
    <w:rsid w:val="28607CE1"/>
    <w:rsid w:val="28611C46"/>
    <w:rsid w:val="28622E06"/>
    <w:rsid w:val="286300ED"/>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1AD9"/>
    <w:rsid w:val="2AAE0F9F"/>
    <w:rsid w:val="2AB05A23"/>
    <w:rsid w:val="2AB06AEF"/>
    <w:rsid w:val="2AB90F00"/>
    <w:rsid w:val="2AB96945"/>
    <w:rsid w:val="2ABB429B"/>
    <w:rsid w:val="2AC11D38"/>
    <w:rsid w:val="2AC175B9"/>
    <w:rsid w:val="2AC303D2"/>
    <w:rsid w:val="2AC31C45"/>
    <w:rsid w:val="2AC64A5F"/>
    <w:rsid w:val="2AC6739A"/>
    <w:rsid w:val="2AC73F22"/>
    <w:rsid w:val="2AC9741F"/>
    <w:rsid w:val="2ADA1FD1"/>
    <w:rsid w:val="2ADC2E55"/>
    <w:rsid w:val="2AE020A3"/>
    <w:rsid w:val="2AE13D6E"/>
    <w:rsid w:val="2AEC5EB6"/>
    <w:rsid w:val="2AF012D3"/>
    <w:rsid w:val="2AF2081B"/>
    <w:rsid w:val="2AF32409"/>
    <w:rsid w:val="2AFA5225"/>
    <w:rsid w:val="2B022B99"/>
    <w:rsid w:val="2B056378"/>
    <w:rsid w:val="2B057AB8"/>
    <w:rsid w:val="2B0758FE"/>
    <w:rsid w:val="2B08119A"/>
    <w:rsid w:val="2B085178"/>
    <w:rsid w:val="2B090250"/>
    <w:rsid w:val="2B0B1C38"/>
    <w:rsid w:val="2B165E66"/>
    <w:rsid w:val="2B183F05"/>
    <w:rsid w:val="2B1C0044"/>
    <w:rsid w:val="2B1F35A9"/>
    <w:rsid w:val="2B1F7B3B"/>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9058E"/>
    <w:rsid w:val="2CF911FA"/>
    <w:rsid w:val="2CFF086A"/>
    <w:rsid w:val="2CFF288B"/>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1516"/>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80AAB"/>
    <w:rsid w:val="2F490252"/>
    <w:rsid w:val="2F495570"/>
    <w:rsid w:val="2F4E4C44"/>
    <w:rsid w:val="2F4F2BD8"/>
    <w:rsid w:val="2F6051BD"/>
    <w:rsid w:val="2F66155E"/>
    <w:rsid w:val="2F697088"/>
    <w:rsid w:val="2F6C6EFD"/>
    <w:rsid w:val="2F6E52E8"/>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F113C7"/>
    <w:rsid w:val="30F26732"/>
    <w:rsid w:val="30FA4CE6"/>
    <w:rsid w:val="30FC4EF7"/>
    <w:rsid w:val="30FE0C0B"/>
    <w:rsid w:val="310159DF"/>
    <w:rsid w:val="31032659"/>
    <w:rsid w:val="31081AAA"/>
    <w:rsid w:val="31091CED"/>
    <w:rsid w:val="310F24E7"/>
    <w:rsid w:val="31121EC6"/>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A415E"/>
    <w:rsid w:val="31EE7E78"/>
    <w:rsid w:val="31F205B0"/>
    <w:rsid w:val="31F329DC"/>
    <w:rsid w:val="31F97DDD"/>
    <w:rsid w:val="32001F8B"/>
    <w:rsid w:val="32005DDB"/>
    <w:rsid w:val="32044B56"/>
    <w:rsid w:val="32057D4D"/>
    <w:rsid w:val="320B5911"/>
    <w:rsid w:val="320C003E"/>
    <w:rsid w:val="32136F2D"/>
    <w:rsid w:val="321A3515"/>
    <w:rsid w:val="321C63D7"/>
    <w:rsid w:val="32201D6B"/>
    <w:rsid w:val="3221279F"/>
    <w:rsid w:val="32232D9C"/>
    <w:rsid w:val="32240257"/>
    <w:rsid w:val="32255778"/>
    <w:rsid w:val="322951FA"/>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E4D99"/>
    <w:rsid w:val="327E6D1B"/>
    <w:rsid w:val="327F04D7"/>
    <w:rsid w:val="32812AE7"/>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A1B39"/>
    <w:rsid w:val="32CA675E"/>
    <w:rsid w:val="32CC77C2"/>
    <w:rsid w:val="32CD172F"/>
    <w:rsid w:val="32CD689D"/>
    <w:rsid w:val="32D16CB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A2E15"/>
    <w:rsid w:val="33AA3EDC"/>
    <w:rsid w:val="33AB3F99"/>
    <w:rsid w:val="33AB741A"/>
    <w:rsid w:val="33B3256A"/>
    <w:rsid w:val="33B442C6"/>
    <w:rsid w:val="33B47514"/>
    <w:rsid w:val="33B6145C"/>
    <w:rsid w:val="33B94573"/>
    <w:rsid w:val="33BB659B"/>
    <w:rsid w:val="33BC1F56"/>
    <w:rsid w:val="33BC32D5"/>
    <w:rsid w:val="33C0087E"/>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1E8D"/>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C14A4"/>
    <w:rsid w:val="34CE25A5"/>
    <w:rsid w:val="34CF701B"/>
    <w:rsid w:val="34D01EFF"/>
    <w:rsid w:val="34D665DD"/>
    <w:rsid w:val="34DB4F48"/>
    <w:rsid w:val="34DC68C6"/>
    <w:rsid w:val="34E509F2"/>
    <w:rsid w:val="34E86316"/>
    <w:rsid w:val="34E95C2F"/>
    <w:rsid w:val="34EA52C6"/>
    <w:rsid w:val="34EE3576"/>
    <w:rsid w:val="34F020FF"/>
    <w:rsid w:val="34F17EC9"/>
    <w:rsid w:val="34F6518B"/>
    <w:rsid w:val="34F9083D"/>
    <w:rsid w:val="34FA344D"/>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276D2"/>
    <w:rsid w:val="36C35683"/>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E53C0"/>
    <w:rsid w:val="386322B4"/>
    <w:rsid w:val="38670CAC"/>
    <w:rsid w:val="386A6F31"/>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65847"/>
    <w:rsid w:val="39B857F7"/>
    <w:rsid w:val="39B90E5E"/>
    <w:rsid w:val="39BB3A94"/>
    <w:rsid w:val="39BF4E6C"/>
    <w:rsid w:val="39C10EC4"/>
    <w:rsid w:val="39C1671E"/>
    <w:rsid w:val="39CB526D"/>
    <w:rsid w:val="39CD52D5"/>
    <w:rsid w:val="39CF1214"/>
    <w:rsid w:val="39D14246"/>
    <w:rsid w:val="39D546A7"/>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A1AB7"/>
    <w:rsid w:val="3A2B63E8"/>
    <w:rsid w:val="3A2C09D8"/>
    <w:rsid w:val="3A2C3BA6"/>
    <w:rsid w:val="3A2C57C2"/>
    <w:rsid w:val="3A2D0617"/>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B4C33"/>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17B1D"/>
    <w:rsid w:val="3D05649D"/>
    <w:rsid w:val="3D056F8B"/>
    <w:rsid w:val="3D0918B6"/>
    <w:rsid w:val="3D0D0F5F"/>
    <w:rsid w:val="3D0E2650"/>
    <w:rsid w:val="3D0E7B96"/>
    <w:rsid w:val="3D126167"/>
    <w:rsid w:val="3D13316C"/>
    <w:rsid w:val="3D1C3A7C"/>
    <w:rsid w:val="3D2121EC"/>
    <w:rsid w:val="3D24596E"/>
    <w:rsid w:val="3D2558DA"/>
    <w:rsid w:val="3D283331"/>
    <w:rsid w:val="3D2A7154"/>
    <w:rsid w:val="3D2D5705"/>
    <w:rsid w:val="3D2E57FB"/>
    <w:rsid w:val="3D310462"/>
    <w:rsid w:val="3D314391"/>
    <w:rsid w:val="3D3256F4"/>
    <w:rsid w:val="3D344D4E"/>
    <w:rsid w:val="3D362CDD"/>
    <w:rsid w:val="3D3A74A4"/>
    <w:rsid w:val="3D3C4CF9"/>
    <w:rsid w:val="3D4206BE"/>
    <w:rsid w:val="3D433BE3"/>
    <w:rsid w:val="3D4410E3"/>
    <w:rsid w:val="3D45563E"/>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806AC3"/>
    <w:rsid w:val="3D837D75"/>
    <w:rsid w:val="3D8438BD"/>
    <w:rsid w:val="3D8517F9"/>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3173B"/>
    <w:rsid w:val="3DB401AA"/>
    <w:rsid w:val="3DB65014"/>
    <w:rsid w:val="3DB728EA"/>
    <w:rsid w:val="3DB9219D"/>
    <w:rsid w:val="3DB9249A"/>
    <w:rsid w:val="3DBB5475"/>
    <w:rsid w:val="3DBC3CE2"/>
    <w:rsid w:val="3DBF4FE8"/>
    <w:rsid w:val="3DC118EF"/>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609B6"/>
    <w:rsid w:val="3E0C66FB"/>
    <w:rsid w:val="3E0F1CFB"/>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E6604"/>
    <w:rsid w:val="3E4E6CDE"/>
    <w:rsid w:val="3E4F6FC8"/>
    <w:rsid w:val="3E5108CB"/>
    <w:rsid w:val="3E513A70"/>
    <w:rsid w:val="3E530307"/>
    <w:rsid w:val="3E535F39"/>
    <w:rsid w:val="3E56265A"/>
    <w:rsid w:val="3E5E230C"/>
    <w:rsid w:val="3E5E304F"/>
    <w:rsid w:val="3E5F25B3"/>
    <w:rsid w:val="3E5F6DF9"/>
    <w:rsid w:val="3E633790"/>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DF57A8"/>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D6CD1"/>
    <w:rsid w:val="406E640F"/>
    <w:rsid w:val="40713C95"/>
    <w:rsid w:val="40750331"/>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0C85"/>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3302F"/>
    <w:rsid w:val="431417E6"/>
    <w:rsid w:val="431558DA"/>
    <w:rsid w:val="4318449F"/>
    <w:rsid w:val="431F1119"/>
    <w:rsid w:val="431F7799"/>
    <w:rsid w:val="432009E1"/>
    <w:rsid w:val="43206F9C"/>
    <w:rsid w:val="43233D79"/>
    <w:rsid w:val="432958E1"/>
    <w:rsid w:val="432E62EC"/>
    <w:rsid w:val="43334F51"/>
    <w:rsid w:val="433429FE"/>
    <w:rsid w:val="4334351A"/>
    <w:rsid w:val="43353730"/>
    <w:rsid w:val="4339124A"/>
    <w:rsid w:val="43396575"/>
    <w:rsid w:val="433B46C8"/>
    <w:rsid w:val="43425EA6"/>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1705A"/>
    <w:rsid w:val="44230F47"/>
    <w:rsid w:val="4423221B"/>
    <w:rsid w:val="4426547A"/>
    <w:rsid w:val="44295215"/>
    <w:rsid w:val="442A33F4"/>
    <w:rsid w:val="442D597A"/>
    <w:rsid w:val="44312E08"/>
    <w:rsid w:val="4431365E"/>
    <w:rsid w:val="4431690E"/>
    <w:rsid w:val="443354E7"/>
    <w:rsid w:val="44354D70"/>
    <w:rsid w:val="44363ABF"/>
    <w:rsid w:val="44381139"/>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3514A"/>
    <w:rsid w:val="44B43D8F"/>
    <w:rsid w:val="44B72EFB"/>
    <w:rsid w:val="44BA0CE9"/>
    <w:rsid w:val="44BA2F8A"/>
    <w:rsid w:val="44BB1C9B"/>
    <w:rsid w:val="44BC5CCF"/>
    <w:rsid w:val="44C13355"/>
    <w:rsid w:val="44C207F8"/>
    <w:rsid w:val="44C27F05"/>
    <w:rsid w:val="44D40990"/>
    <w:rsid w:val="44D65CFD"/>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344AB"/>
    <w:rsid w:val="45743CAB"/>
    <w:rsid w:val="45782AA8"/>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9F3883"/>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00CB"/>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AE6572"/>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36ADF"/>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B227F"/>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14ED9"/>
    <w:rsid w:val="49A25351"/>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6159C0"/>
    <w:rsid w:val="4A6579CD"/>
    <w:rsid w:val="4A672F5C"/>
    <w:rsid w:val="4A6B6B3E"/>
    <w:rsid w:val="4A6C083F"/>
    <w:rsid w:val="4A6D0FD7"/>
    <w:rsid w:val="4A724018"/>
    <w:rsid w:val="4A726BD6"/>
    <w:rsid w:val="4A7417EC"/>
    <w:rsid w:val="4A74295B"/>
    <w:rsid w:val="4A755FA4"/>
    <w:rsid w:val="4A775D75"/>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9226D"/>
    <w:rsid w:val="4C7B0F88"/>
    <w:rsid w:val="4C7C25EF"/>
    <w:rsid w:val="4C804B21"/>
    <w:rsid w:val="4C805134"/>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B6DEF"/>
    <w:rsid w:val="4DDE609A"/>
    <w:rsid w:val="4DE100E7"/>
    <w:rsid w:val="4DE52367"/>
    <w:rsid w:val="4DE961A1"/>
    <w:rsid w:val="4DEE222F"/>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44EFE"/>
    <w:rsid w:val="4E17118C"/>
    <w:rsid w:val="4E172296"/>
    <w:rsid w:val="4E1B2345"/>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56E22"/>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715A85"/>
    <w:rsid w:val="5072549B"/>
    <w:rsid w:val="50734618"/>
    <w:rsid w:val="5073496F"/>
    <w:rsid w:val="507D0723"/>
    <w:rsid w:val="507D48CA"/>
    <w:rsid w:val="50825850"/>
    <w:rsid w:val="5083437F"/>
    <w:rsid w:val="50892381"/>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30A5"/>
    <w:rsid w:val="51EA6D87"/>
    <w:rsid w:val="51EB5F10"/>
    <w:rsid w:val="51EC7A89"/>
    <w:rsid w:val="51EE61B3"/>
    <w:rsid w:val="51F1179B"/>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35288"/>
    <w:rsid w:val="52B378D5"/>
    <w:rsid w:val="52B63DBD"/>
    <w:rsid w:val="52B916BC"/>
    <w:rsid w:val="52B945AB"/>
    <w:rsid w:val="52B963F4"/>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E6611"/>
    <w:rsid w:val="53CF2A16"/>
    <w:rsid w:val="53D221BC"/>
    <w:rsid w:val="53D260C2"/>
    <w:rsid w:val="53D31BF0"/>
    <w:rsid w:val="53D547DC"/>
    <w:rsid w:val="53D81052"/>
    <w:rsid w:val="53D82D17"/>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22730"/>
    <w:rsid w:val="54034A06"/>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405A2E"/>
    <w:rsid w:val="554416F7"/>
    <w:rsid w:val="55456295"/>
    <w:rsid w:val="554D7803"/>
    <w:rsid w:val="55516532"/>
    <w:rsid w:val="55540941"/>
    <w:rsid w:val="5556624F"/>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748A"/>
    <w:rsid w:val="5577566D"/>
    <w:rsid w:val="55784732"/>
    <w:rsid w:val="55792861"/>
    <w:rsid w:val="55796E3E"/>
    <w:rsid w:val="557C6EDF"/>
    <w:rsid w:val="557E71FE"/>
    <w:rsid w:val="5584057B"/>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86438"/>
    <w:rsid w:val="55EE3558"/>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27F64"/>
    <w:rsid w:val="5B043ACD"/>
    <w:rsid w:val="5B0D44D7"/>
    <w:rsid w:val="5B121DF7"/>
    <w:rsid w:val="5B150771"/>
    <w:rsid w:val="5B160FD4"/>
    <w:rsid w:val="5B1641FE"/>
    <w:rsid w:val="5B166174"/>
    <w:rsid w:val="5B1A00B4"/>
    <w:rsid w:val="5B1D0B7B"/>
    <w:rsid w:val="5B1D556F"/>
    <w:rsid w:val="5B1F372F"/>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2114"/>
    <w:rsid w:val="5E677EDC"/>
    <w:rsid w:val="5E693C6B"/>
    <w:rsid w:val="5E6C2656"/>
    <w:rsid w:val="5E6E0941"/>
    <w:rsid w:val="5E6E3701"/>
    <w:rsid w:val="5E734528"/>
    <w:rsid w:val="5E74323A"/>
    <w:rsid w:val="5E754C35"/>
    <w:rsid w:val="5E77494F"/>
    <w:rsid w:val="5E7B2ECF"/>
    <w:rsid w:val="5E7C641B"/>
    <w:rsid w:val="5E7D29BD"/>
    <w:rsid w:val="5E8175BA"/>
    <w:rsid w:val="5E824960"/>
    <w:rsid w:val="5E863851"/>
    <w:rsid w:val="5E8B64B9"/>
    <w:rsid w:val="5E8C15B2"/>
    <w:rsid w:val="5E8D3FF6"/>
    <w:rsid w:val="5E9141B8"/>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D0719"/>
    <w:rsid w:val="5FEF04AA"/>
    <w:rsid w:val="5FF27FE4"/>
    <w:rsid w:val="5FF36493"/>
    <w:rsid w:val="5FF67D80"/>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31A25"/>
    <w:rsid w:val="60682124"/>
    <w:rsid w:val="60695291"/>
    <w:rsid w:val="606A3E56"/>
    <w:rsid w:val="606B1CB6"/>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C0A4F"/>
    <w:rsid w:val="623C52F6"/>
    <w:rsid w:val="623E03FD"/>
    <w:rsid w:val="623E3CFD"/>
    <w:rsid w:val="623E628C"/>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460F8"/>
    <w:rsid w:val="633A0420"/>
    <w:rsid w:val="633A6B15"/>
    <w:rsid w:val="633B5504"/>
    <w:rsid w:val="633E468C"/>
    <w:rsid w:val="633F55D8"/>
    <w:rsid w:val="6341499B"/>
    <w:rsid w:val="63416F64"/>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A63EB"/>
    <w:rsid w:val="637C3482"/>
    <w:rsid w:val="63812A61"/>
    <w:rsid w:val="6385218B"/>
    <w:rsid w:val="63864A92"/>
    <w:rsid w:val="638C16E5"/>
    <w:rsid w:val="638F22B7"/>
    <w:rsid w:val="639154D4"/>
    <w:rsid w:val="63933614"/>
    <w:rsid w:val="63991163"/>
    <w:rsid w:val="63993990"/>
    <w:rsid w:val="639A1276"/>
    <w:rsid w:val="639A34E0"/>
    <w:rsid w:val="639B414A"/>
    <w:rsid w:val="639D6B08"/>
    <w:rsid w:val="63A65D5A"/>
    <w:rsid w:val="63AB1FE1"/>
    <w:rsid w:val="63AC7FA8"/>
    <w:rsid w:val="63B40250"/>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62EC"/>
    <w:rsid w:val="642C2369"/>
    <w:rsid w:val="6435158C"/>
    <w:rsid w:val="64361A2B"/>
    <w:rsid w:val="643E73D7"/>
    <w:rsid w:val="643F2D0D"/>
    <w:rsid w:val="64462AD4"/>
    <w:rsid w:val="64477E7E"/>
    <w:rsid w:val="644C64F7"/>
    <w:rsid w:val="644D3DD1"/>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BE4385"/>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F14286"/>
    <w:rsid w:val="66F43AE9"/>
    <w:rsid w:val="66F47B55"/>
    <w:rsid w:val="66FD3BFA"/>
    <w:rsid w:val="66FF75FB"/>
    <w:rsid w:val="67025BC3"/>
    <w:rsid w:val="67046F82"/>
    <w:rsid w:val="6707649E"/>
    <w:rsid w:val="6707719F"/>
    <w:rsid w:val="67097AAA"/>
    <w:rsid w:val="670D1B71"/>
    <w:rsid w:val="67100251"/>
    <w:rsid w:val="671553CC"/>
    <w:rsid w:val="67185503"/>
    <w:rsid w:val="671A0DE7"/>
    <w:rsid w:val="671D4475"/>
    <w:rsid w:val="672149C6"/>
    <w:rsid w:val="67281EC7"/>
    <w:rsid w:val="672920F2"/>
    <w:rsid w:val="672A0608"/>
    <w:rsid w:val="672D7681"/>
    <w:rsid w:val="6730014F"/>
    <w:rsid w:val="6730372A"/>
    <w:rsid w:val="67344028"/>
    <w:rsid w:val="67392A66"/>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52CB5"/>
    <w:rsid w:val="6867013B"/>
    <w:rsid w:val="686A2C12"/>
    <w:rsid w:val="686B6A14"/>
    <w:rsid w:val="686D7DE3"/>
    <w:rsid w:val="6873094C"/>
    <w:rsid w:val="68741757"/>
    <w:rsid w:val="68780264"/>
    <w:rsid w:val="68795674"/>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954EB"/>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9035FD7"/>
    <w:rsid w:val="690716F0"/>
    <w:rsid w:val="69072F35"/>
    <w:rsid w:val="69075094"/>
    <w:rsid w:val="690916D6"/>
    <w:rsid w:val="69093C6E"/>
    <w:rsid w:val="690B0012"/>
    <w:rsid w:val="690C55C1"/>
    <w:rsid w:val="690F7D48"/>
    <w:rsid w:val="691146C8"/>
    <w:rsid w:val="69153A94"/>
    <w:rsid w:val="69161875"/>
    <w:rsid w:val="691619F4"/>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9270C"/>
    <w:rsid w:val="69893B07"/>
    <w:rsid w:val="698D19F7"/>
    <w:rsid w:val="698E05A1"/>
    <w:rsid w:val="699129B0"/>
    <w:rsid w:val="699272DD"/>
    <w:rsid w:val="699A3E03"/>
    <w:rsid w:val="69A15775"/>
    <w:rsid w:val="69A36FC5"/>
    <w:rsid w:val="69AB6055"/>
    <w:rsid w:val="69B21F29"/>
    <w:rsid w:val="69B25CE5"/>
    <w:rsid w:val="69B649A4"/>
    <w:rsid w:val="69B72837"/>
    <w:rsid w:val="69C026AD"/>
    <w:rsid w:val="69C15A5B"/>
    <w:rsid w:val="69C40C44"/>
    <w:rsid w:val="69C4366B"/>
    <w:rsid w:val="69C933FF"/>
    <w:rsid w:val="69CD0DFA"/>
    <w:rsid w:val="69D07C33"/>
    <w:rsid w:val="69D24B9B"/>
    <w:rsid w:val="69D5474D"/>
    <w:rsid w:val="69D64B50"/>
    <w:rsid w:val="69D87485"/>
    <w:rsid w:val="69D91D9E"/>
    <w:rsid w:val="69D9615A"/>
    <w:rsid w:val="69DA312F"/>
    <w:rsid w:val="69DB1C7B"/>
    <w:rsid w:val="69DB51C3"/>
    <w:rsid w:val="69DD5DEA"/>
    <w:rsid w:val="69DF1A84"/>
    <w:rsid w:val="69E74BA2"/>
    <w:rsid w:val="69E96D68"/>
    <w:rsid w:val="69EE1071"/>
    <w:rsid w:val="69F2148A"/>
    <w:rsid w:val="69F86274"/>
    <w:rsid w:val="69F93223"/>
    <w:rsid w:val="69FF1B34"/>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81040"/>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C0B1B"/>
    <w:rsid w:val="6CEC3EFD"/>
    <w:rsid w:val="6CED5A19"/>
    <w:rsid w:val="6CEE5F47"/>
    <w:rsid w:val="6CF36C4F"/>
    <w:rsid w:val="6CF406C5"/>
    <w:rsid w:val="6CF543B5"/>
    <w:rsid w:val="6CF70AA0"/>
    <w:rsid w:val="6CF86A65"/>
    <w:rsid w:val="6CF9697C"/>
    <w:rsid w:val="6CFD462E"/>
    <w:rsid w:val="6D017862"/>
    <w:rsid w:val="6D071C15"/>
    <w:rsid w:val="6D0774BF"/>
    <w:rsid w:val="6D0809E9"/>
    <w:rsid w:val="6D0A7B4E"/>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83B71"/>
    <w:rsid w:val="6D6A594B"/>
    <w:rsid w:val="6D6A6761"/>
    <w:rsid w:val="6D6C5BC6"/>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9085A"/>
    <w:rsid w:val="6E4A4406"/>
    <w:rsid w:val="6E4D0909"/>
    <w:rsid w:val="6E4F73BE"/>
    <w:rsid w:val="6E550D31"/>
    <w:rsid w:val="6E56438B"/>
    <w:rsid w:val="6E566306"/>
    <w:rsid w:val="6E5A4474"/>
    <w:rsid w:val="6E6010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265AD"/>
    <w:rsid w:val="6EAB3002"/>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423D8"/>
    <w:rsid w:val="6EF510DC"/>
    <w:rsid w:val="6EF5513D"/>
    <w:rsid w:val="6EF65FE4"/>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6178C"/>
    <w:rsid w:val="6F6728D3"/>
    <w:rsid w:val="6F6D40E6"/>
    <w:rsid w:val="6F6F70EB"/>
    <w:rsid w:val="6F707136"/>
    <w:rsid w:val="6F737123"/>
    <w:rsid w:val="6F7526E7"/>
    <w:rsid w:val="6F755174"/>
    <w:rsid w:val="6F790E2F"/>
    <w:rsid w:val="6F7C656C"/>
    <w:rsid w:val="6F7C7410"/>
    <w:rsid w:val="6F7E39F5"/>
    <w:rsid w:val="6F812543"/>
    <w:rsid w:val="6F925BE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CF2CB0"/>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E5FCA"/>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C169B"/>
    <w:rsid w:val="72D04006"/>
    <w:rsid w:val="72D10367"/>
    <w:rsid w:val="72D133D8"/>
    <w:rsid w:val="72D20C8D"/>
    <w:rsid w:val="72D21E54"/>
    <w:rsid w:val="72D34AA4"/>
    <w:rsid w:val="72D97928"/>
    <w:rsid w:val="72E34F8F"/>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DE4615"/>
    <w:rsid w:val="73E344E9"/>
    <w:rsid w:val="73E82923"/>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11455"/>
    <w:rsid w:val="75952638"/>
    <w:rsid w:val="75954E5B"/>
    <w:rsid w:val="759554D0"/>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30E54"/>
    <w:rsid w:val="75D638B0"/>
    <w:rsid w:val="75D71109"/>
    <w:rsid w:val="75DB5530"/>
    <w:rsid w:val="75E007CE"/>
    <w:rsid w:val="75E376A3"/>
    <w:rsid w:val="75E82B30"/>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11191"/>
    <w:rsid w:val="78520561"/>
    <w:rsid w:val="785364C5"/>
    <w:rsid w:val="78536AC3"/>
    <w:rsid w:val="78587763"/>
    <w:rsid w:val="785B4112"/>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75A23"/>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B0BA1"/>
    <w:rsid w:val="798B7ED4"/>
    <w:rsid w:val="798E6887"/>
    <w:rsid w:val="799058F1"/>
    <w:rsid w:val="79905D90"/>
    <w:rsid w:val="79922980"/>
    <w:rsid w:val="799538B1"/>
    <w:rsid w:val="7997172B"/>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5A58E7"/>
    <w:rsid w:val="7A6821E1"/>
    <w:rsid w:val="7A682849"/>
    <w:rsid w:val="7A6A4FB7"/>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8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030D2"/>
    <w:rsid w:val="7B2107CD"/>
    <w:rsid w:val="7B22481B"/>
    <w:rsid w:val="7B263396"/>
    <w:rsid w:val="7B2861B5"/>
    <w:rsid w:val="7B293581"/>
    <w:rsid w:val="7B2B0D4C"/>
    <w:rsid w:val="7B2E31AC"/>
    <w:rsid w:val="7B317274"/>
    <w:rsid w:val="7B324EC7"/>
    <w:rsid w:val="7B3378B2"/>
    <w:rsid w:val="7B384D69"/>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21F63"/>
    <w:rsid w:val="7B624E46"/>
    <w:rsid w:val="7B65732C"/>
    <w:rsid w:val="7B666080"/>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139D"/>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519A"/>
    <w:rsid w:val="7F70218A"/>
    <w:rsid w:val="7F7514A2"/>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after="0" w:line="415" w:lineRule="auto"/>
      <w:outlineLvl w:val="1"/>
    </w:pPr>
    <w:rPr>
      <w:rFonts w:ascii="Times New Roman" w:hAnsi="Times New Roman" w:eastAsia="Times New Roman"/>
      <w:b/>
      <w:sz w:val="24"/>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line="240" w:lineRule="auto"/>
      <w:textAlignment w:val="baseline"/>
      <w:outlineLvl w:val="3"/>
    </w:pPr>
    <w:rPr>
      <w:sz w:val="28"/>
      <w:szCs w:val="28"/>
      <w:lang w:val="en-GB"/>
    </w:rPr>
  </w:style>
  <w:style w:type="paragraph" w:styleId="6">
    <w:name w:val="heading 5"/>
    <w:basedOn w:val="1"/>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2"/>
    <w:unhideWhenUsed/>
    <w:qFormat/>
    <w:uiPriority w:val="99"/>
    <w:rPr>
      <w:rFonts w:ascii="宋体"/>
      <w:sz w:val="18"/>
      <w:szCs w:val="18"/>
    </w:rPr>
  </w:style>
  <w:style w:type="paragraph" w:styleId="15">
    <w:name w:val="annotation text"/>
    <w:basedOn w:val="1"/>
    <w:link w:val="40"/>
    <w:unhideWhenUsed/>
    <w:qFormat/>
    <w:uiPriority w:val="99"/>
    <w:rPr>
      <w:sz w:val="20"/>
      <w:szCs w:val="20"/>
    </w:rPr>
  </w:style>
  <w:style w:type="paragraph" w:styleId="16">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5"/>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1"/>
    <w:unhideWhenUsed/>
    <w:qFormat/>
    <w:uiPriority w:val="99"/>
    <w:pPr>
      <w:spacing w:after="0" w:line="240" w:lineRule="auto"/>
    </w:pPr>
    <w:rPr>
      <w:rFonts w:eastAsia="Calibri"/>
      <w:szCs w:val="21"/>
      <w:lang w:val="en-GB" w:eastAsia="en-US"/>
    </w:rPr>
  </w:style>
  <w:style w:type="paragraph" w:styleId="20">
    <w:name w:val="Date"/>
    <w:basedOn w:val="1"/>
    <w:next w:val="1"/>
    <w:link w:val="55"/>
    <w:unhideWhenUsed/>
    <w:qFormat/>
    <w:uiPriority w:val="99"/>
    <w:pPr>
      <w:ind w:left="100" w:leftChars="2500"/>
    </w:pPr>
  </w:style>
  <w:style w:type="paragraph" w:styleId="21">
    <w:name w:val="Balloon Text"/>
    <w:basedOn w:val="1"/>
    <w:link w:val="36"/>
    <w:unhideWhenUsed/>
    <w:qFormat/>
    <w:uiPriority w:val="99"/>
    <w:pPr>
      <w:spacing w:after="0" w:line="240" w:lineRule="auto"/>
    </w:pPr>
    <w:rPr>
      <w:rFonts w:ascii="Tahoma" w:hAnsi="Tahoma"/>
      <w:sz w:val="16"/>
      <w:szCs w:val="16"/>
    </w:rPr>
  </w:style>
  <w:style w:type="paragraph" w:styleId="22">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8"/>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9">
    <w:name w:val="Table Grid 8"/>
    <w:basedOn w:val="27"/>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Balloon Text Char"/>
    <w:link w:val="21"/>
    <w:semiHidden/>
    <w:qFormat/>
    <w:uiPriority w:val="99"/>
    <w:rPr>
      <w:rFonts w:ascii="Tahoma" w:hAnsi="Tahoma" w:cs="Tahoma"/>
      <w:sz w:val="16"/>
      <w:szCs w:val="16"/>
    </w:rPr>
  </w:style>
  <w:style w:type="character" w:customStyle="1" w:styleId="37">
    <w:name w:val="Heading 1 Char"/>
    <w:link w:val="2"/>
    <w:qFormat/>
    <w:uiPriority w:val="99"/>
    <w:rPr>
      <w:rFonts w:ascii="Arial" w:hAnsi="Arial" w:eastAsia="黑体"/>
      <w:b/>
      <w:bCs/>
      <w:sz w:val="30"/>
      <w:szCs w:val="30"/>
      <w:lang w:val="zh-CN" w:eastAsia="zh-CN"/>
    </w:rPr>
  </w:style>
  <w:style w:type="character" w:customStyle="1" w:styleId="38">
    <w:name w:val="Header Char"/>
    <w:link w:val="23"/>
    <w:qFormat/>
    <w:uiPriority w:val="99"/>
    <w:rPr>
      <w:rFonts w:ascii="Arial" w:hAnsi="Arial" w:eastAsia="MS Mincho"/>
      <w:b/>
      <w:szCs w:val="24"/>
      <w:lang w:eastAsia="en-US"/>
    </w:rPr>
  </w:style>
  <w:style w:type="paragraph" w:customStyle="1" w:styleId="3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0">
    <w:name w:val="Comment Text Char"/>
    <w:basedOn w:val="30"/>
    <w:link w:val="15"/>
    <w:qFormat/>
    <w:uiPriority w:val="99"/>
  </w:style>
  <w:style w:type="character" w:customStyle="1" w:styleId="41">
    <w:name w:val="Comment Subject Char"/>
    <w:link w:val="26"/>
    <w:semiHidden/>
    <w:qFormat/>
    <w:uiPriority w:val="99"/>
    <w:rPr>
      <w:b/>
      <w:bCs/>
    </w:rPr>
  </w:style>
  <w:style w:type="character" w:customStyle="1" w:styleId="42">
    <w:name w:val="Document Map Char"/>
    <w:link w:val="14"/>
    <w:semiHidden/>
    <w:qFormat/>
    <w:uiPriority w:val="99"/>
    <w:rPr>
      <w:rFonts w:ascii="宋体"/>
      <w:sz w:val="18"/>
      <w:szCs w:val="18"/>
    </w:rPr>
  </w:style>
  <w:style w:type="character" w:customStyle="1" w:styleId="43">
    <w:name w:val="Body Text Char"/>
    <w:link w:val="16"/>
    <w:qFormat/>
    <w:uiPriority w:val="0"/>
    <w:rPr>
      <w:rFonts w:ascii="Times New Roman" w:hAnsi="Times New Roman"/>
      <w:color w:val="0000FF"/>
      <w:kern w:val="2"/>
      <w:sz w:val="21"/>
    </w:rPr>
  </w:style>
  <w:style w:type="character" w:customStyle="1" w:styleId="44">
    <w:name w:val="Caption Char"/>
    <w:link w:val="13"/>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Footer Char"/>
    <w:link w:val="22"/>
    <w:qFormat/>
    <w:uiPriority w:val="99"/>
    <w:rPr>
      <w:sz w:val="18"/>
      <w:szCs w:val="18"/>
    </w:rPr>
  </w:style>
  <w:style w:type="character" w:customStyle="1" w:styleId="47">
    <w:name w:val="Heading 2 Char"/>
    <w:link w:val="3"/>
    <w:qFormat/>
    <w:uiPriority w:val="0"/>
    <w:rPr>
      <w:rFonts w:eastAsia="Times New Roman"/>
      <w:b/>
      <w:sz w:val="24"/>
      <w:szCs w:val="32"/>
    </w:rPr>
  </w:style>
  <w:style w:type="character" w:customStyle="1" w:styleId="48">
    <w:name w:val="Heading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Date Char"/>
    <w:link w:val="20"/>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Plain Text Char"/>
    <w:link w:val="19"/>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Heading 4 Char"/>
    <w:link w:val="5"/>
    <w:qFormat/>
    <w:uiPriority w:val="0"/>
    <w:rPr>
      <w:rFonts w:ascii="Times New Roman" w:hAnsi="Times New Roman"/>
      <w:b/>
      <w:sz w:val="28"/>
      <w:szCs w:val="28"/>
      <w:lang w:val="en-GB"/>
    </w:rPr>
  </w:style>
  <w:style w:type="character" w:customStyle="1" w:styleId="68">
    <w:name w:val="Heading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Body Text Indent Char"/>
    <w:basedOn w:val="30"/>
    <w:link w:val="17"/>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4"/>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0"/>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7">
    <w:name w:val="列出段落5"/>
    <w:basedOn w:val="1"/>
    <w:qFormat/>
    <w:uiPriority w:val="34"/>
    <w:pPr>
      <w:ind w:left="840" w:leftChars="400"/>
    </w:pPr>
  </w:style>
  <w:style w:type="paragraph" w:customStyle="1" w:styleId="98">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9">
    <w:name w:val="x_msonormal"/>
    <w:basedOn w:val="1"/>
    <w:qFormat/>
    <w:uiPriority w:val="99"/>
    <w:rPr>
      <w:rFonts w:eastAsia="Calibri" w:cs="Calibri"/>
    </w:rPr>
  </w:style>
  <w:style w:type="paragraph" w:styleId="100">
    <w:name w:val="List Paragraph"/>
    <w:basedOn w:val="1"/>
    <w:qFormat/>
    <w:uiPriority w:val="34"/>
    <w:pPr>
      <w:ind w:firstLine="420" w:firstLineChars="200"/>
    </w:pPr>
  </w:style>
  <w:style w:type="character" w:styleId="101">
    <w:name w:val="Placeholder Text"/>
    <w:basedOn w:val="30"/>
    <w:semiHidden/>
    <w:qFormat/>
    <w:uiPriority w:val="99"/>
    <w:rPr>
      <w:color w:val="808080"/>
    </w:rPr>
  </w:style>
  <w:style w:type="paragraph" w:customStyle="1" w:styleId="102">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3">
    <w:name w:val="Statement Body"/>
    <w:basedOn w:val="1"/>
    <w:qFormat/>
    <w:uiPriority w:val="0"/>
  </w:style>
  <w:style w:type="paragraph" w:customStyle="1" w:styleId="104">
    <w:name w:val="xmsonormal"/>
    <w:basedOn w:val="1"/>
    <w:qFormat/>
    <w:uiPriority w:val="99"/>
    <w:pPr>
      <w:spacing w:before="100" w:beforeAutospacing="1" w:after="100" w:afterAutospacing="1"/>
    </w:pPr>
    <w:rPr>
      <w:rFonts w:eastAsia="Calibri" w:cs="Calibri"/>
    </w:rPr>
  </w:style>
  <w:style w:type="paragraph" w:customStyle="1" w:styleId="105">
    <w:name w:val="xa0"/>
    <w:basedOn w:val="1"/>
    <w:qFormat/>
    <w:uiPriority w:val="0"/>
    <w:pPr>
      <w:spacing w:before="100" w:beforeAutospacing="1" w:after="100" w:afterAutospacing="1"/>
    </w:pPr>
    <w:rPr>
      <w:rFonts w:eastAsia="Calibri" w:cs="Calibri"/>
    </w:rPr>
  </w:style>
  <w:style w:type="paragraph" w:customStyle="1" w:styleId="106">
    <w:name w:val="x_x_msonormal"/>
    <w:basedOn w:val="1"/>
    <w:qFormat/>
    <w:uiPriority w:val="99"/>
    <w:pPr>
      <w:spacing w:before="100" w:beforeAutospacing="1" w:after="100" w:afterAutospacing="1"/>
    </w:pPr>
    <w:rPr>
      <w:rFonts w:eastAsia="Calibri" w:cs="Calibri"/>
    </w:rPr>
  </w:style>
  <w:style w:type="character" w:customStyle="1" w:styleId="107">
    <w:name w:val="x_x_apple-converted-space"/>
    <w:basedOn w:val="30"/>
    <w:qFormat/>
    <w:uiPriority w:val="0"/>
  </w:style>
  <w:style w:type="paragraph" w:customStyle="1" w:styleId="108">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9">
    <w:name w:val="15"/>
    <w:basedOn w:val="30"/>
    <w:qFormat/>
    <w:uiPriority w:val="0"/>
    <w:rPr>
      <w:rFonts w:hint="eastAsia" w:ascii="Malgun Gothic" w:hAnsi="Malgun Gothic" w:eastAsia="Malgun Gothic"/>
      <w:i/>
      <w:iCs/>
    </w:rPr>
  </w:style>
  <w:style w:type="paragraph" w:customStyle="1" w:styleId="110">
    <w:name w:val="xxmsonormal"/>
    <w:basedOn w:val="1"/>
    <w:qFormat/>
    <w:uiPriority w:val="0"/>
    <w:pPr>
      <w:spacing w:before="100" w:beforeAutospacing="1" w:after="100" w:afterAutospacing="1"/>
    </w:pPr>
    <w:rPr>
      <w:rFonts w:eastAsia="Calibri" w:cs="Calibri"/>
    </w:rPr>
  </w:style>
  <w:style w:type="table" w:customStyle="1" w:styleId="111">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xxxxmsonormal"/>
    <w:basedOn w:val="1"/>
    <w:qFormat/>
    <w:uiPriority w:val="99"/>
    <w:pPr>
      <w:spacing w:before="100" w:beforeAutospacing="1" w:after="100" w:afterAutospacing="1"/>
    </w:pPr>
    <w:rPr>
      <w:rFonts w:eastAsia="Malgun Gothic" w:cs="Calibri"/>
      <w:lang w:eastAsia="ko-KR"/>
    </w:rPr>
  </w:style>
  <w:style w:type="paragraph" w:customStyle="1" w:styleId="113">
    <w:name w:val="xxxmsonormal"/>
    <w:basedOn w:val="1"/>
    <w:qFormat/>
    <w:uiPriority w:val="99"/>
    <w:pPr>
      <w:spacing w:before="100" w:beforeAutospacing="1" w:after="100" w:afterAutospacing="1"/>
    </w:pPr>
    <w:rPr>
      <w:rFonts w:eastAsia="Malgun Gothic" w:cs="Calibri"/>
      <w:lang w:eastAsia="ko-KR"/>
    </w:rPr>
  </w:style>
  <w:style w:type="character" w:customStyle="1" w:styleId="114">
    <w:name w:val="xxxxapple-converted-space"/>
    <w:qFormat/>
    <w:uiPriority w:val="0"/>
  </w:style>
  <w:style w:type="paragraph" w:customStyle="1" w:styleId="115">
    <w:name w:val="xxxxproposal"/>
    <w:basedOn w:val="1"/>
    <w:qFormat/>
    <w:uiPriority w:val="99"/>
    <w:pPr>
      <w:spacing w:before="100" w:beforeAutospacing="1" w:after="100" w:afterAutospacing="1"/>
    </w:pPr>
    <w:rPr>
      <w:rFonts w:eastAsia="Malgun Gothic" w:cs="Calibri"/>
      <w:lang w:eastAsia="ko-KR"/>
    </w:rPr>
  </w:style>
  <w:style w:type="paragraph" w:customStyle="1" w:styleId="116">
    <w:name w:val="xxxxxa0"/>
    <w:basedOn w:val="1"/>
    <w:qFormat/>
    <w:uiPriority w:val="99"/>
    <w:pPr>
      <w:spacing w:before="100" w:beforeAutospacing="1" w:after="100" w:afterAutospacing="1"/>
    </w:pPr>
    <w:rPr>
      <w:rFonts w:eastAsia="Malgun Gothic" w:cs="Calibri"/>
      <w:lang w:eastAsia="ko-KR"/>
    </w:rPr>
  </w:style>
  <w:style w:type="character" w:customStyle="1" w:styleId="117">
    <w:name w:val="xxxxxxxxxxapple-converted-space"/>
    <w:qFormat/>
    <w:uiPriority w:val="0"/>
  </w:style>
  <w:style w:type="character" w:customStyle="1" w:styleId="118">
    <w:name w:val="xxxxxxxapple-converted-space"/>
    <w:qFormat/>
    <w:uiPriority w:val="0"/>
  </w:style>
  <w:style w:type="paragraph" w:customStyle="1" w:styleId="119">
    <w:name w:val="Agreement"/>
    <w:basedOn w:val="1"/>
    <w:next w:val="73"/>
    <w:qFormat/>
    <w:uiPriority w:val="0"/>
    <w:pPr>
      <w:spacing w:before="60" w:after="100" w:afterAutospacing="1" w:line="240" w:lineRule="auto"/>
      <w:ind w:left="-4680" w:hanging="360"/>
    </w:pPr>
    <w:rPr>
      <w:rFonts w:ascii="Arial" w:hAnsi="Arial" w:eastAsia="MS Mincho"/>
      <w:b/>
      <w:sz w:val="20"/>
      <w:szCs w:val="20"/>
    </w:rPr>
  </w:style>
  <w:style w:type="paragraph" w:customStyle="1" w:styleId="120">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1">
    <w:name w:val="Observation"/>
    <w:basedOn w:val="102"/>
    <w:qFormat/>
    <w:uiPriority w:val="0"/>
    <w:pPr>
      <w:numPr>
        <w:ilvl w:val="0"/>
        <w:numId w:val="2"/>
      </w:numPr>
      <w:tabs>
        <w:tab w:val="left" w:pos="1304"/>
      </w:tabs>
    </w:pPr>
  </w:style>
  <w:style w:type="paragraph" w:customStyle="1" w:styleId="122">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3">
    <w:name w:val="proposal"/>
    <w:basedOn w:val="16"/>
    <w:next w:val="1"/>
    <w:qFormat/>
    <w:uiPriority w:val="0"/>
    <w:pPr>
      <w:numPr>
        <w:ilvl w:val="0"/>
        <w:numId w:val="3"/>
      </w:numPr>
      <w:spacing w:before="120" w:beforeLines="50" w:afterLines="50"/>
      <w:ind w:left="1134" w:hanging="1134"/>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9.png"/><Relationship Id="rId22" Type="http://schemas.openxmlformats.org/officeDocument/2006/relationships/image" Target="media/image8.emf"/><Relationship Id="rId21" Type="http://schemas.openxmlformats.org/officeDocument/2006/relationships/package" Target="embeddings/Microsoft_Visio___8.vsdx"/><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6.emf"/><Relationship Id="rId17" Type="http://schemas.openxmlformats.org/officeDocument/2006/relationships/package" Target="embeddings/Microsoft_Visio___6.vsdx"/><Relationship Id="rId16" Type="http://schemas.openxmlformats.org/officeDocument/2006/relationships/image" Target="media/image5.emf"/><Relationship Id="rId15" Type="http://schemas.openxmlformats.org/officeDocument/2006/relationships/package" Target="embeddings/Microsoft_Visio___5.vsdx"/><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4FA65-CFCB-463A-9692-7B078F3D35A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17</Pages>
  <Words>5985</Words>
  <Characters>34121</Characters>
  <Lines>284</Lines>
  <Paragraphs>80</Paragraphs>
  <TotalTime>60</TotalTime>
  <ScaleCrop>false</ScaleCrop>
  <LinksUpToDate>false</LinksUpToDate>
  <CharactersWithSpaces>40026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ZTE-Ling Yang</cp:lastModifiedBy>
  <dcterms:modified xsi:type="dcterms:W3CDTF">2023-02-17T08:46:14Z</dcterms:modified>
  <cp:revision>930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E8AEEC15F80D48E18A33DA6292C64B18</vt:lpwstr>
  </property>
</Properties>
</file>